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BB2251">
        <w:rPr>
          <w:bCs/>
          <w:noProof w:val="0"/>
          <w:sz w:val="24"/>
          <w:szCs w:val="24"/>
        </w:rPr>
        <w:t>3981</w:t>
      </w:r>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444F">
        <w:rPr>
          <w:rFonts w:cs="Arial"/>
          <w:b/>
          <w:bCs/>
          <w:sz w:val="24"/>
          <w:lang w:eastAsia="ja-JP"/>
        </w:rPr>
        <w:t>8.6</w:t>
      </w:r>
      <w:r w:rsidR="00640749">
        <w:rPr>
          <w:rFonts w:cs="Arial"/>
          <w:b/>
          <w:bCs/>
          <w:sz w:val="24"/>
          <w:lang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D7444F"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01407">
        <w:rPr>
          <w:rFonts w:ascii="Arial" w:hAnsi="Arial" w:cs="Arial"/>
          <w:b/>
          <w:bCs/>
          <w:sz w:val="24"/>
        </w:rPr>
        <w:t>“</w:t>
      </w:r>
      <w:r>
        <w:rPr>
          <w:rFonts w:ascii="Arial" w:hAnsi="Arial" w:cs="Arial"/>
          <w:b/>
          <w:bCs/>
          <w:sz w:val="24"/>
        </w:rPr>
        <w:t>make-before-break</w:t>
      </w:r>
      <w:r w:rsidR="00001407">
        <w:rPr>
          <w:rFonts w:ascii="Arial" w:hAnsi="Arial" w:cs="Arial"/>
          <w:b/>
          <w:bCs/>
          <w:sz w:val="24"/>
        </w:rPr>
        <w:t>” HO in</w:t>
      </w:r>
      <w:r>
        <w:rPr>
          <w:rFonts w:ascii="Arial" w:hAnsi="Arial" w:cs="Arial"/>
          <w:b/>
          <w:bCs/>
          <w:sz w:val="24"/>
        </w:rPr>
        <w:t xml:space="preserve"> LTE and its implications</w:t>
      </w:r>
    </w:p>
    <w:p w:rsidR="00CD4C7B" w:rsidRPr="00B266B0" w:rsidRDefault="00D7444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D7444F">
        <w:rPr>
          <w:rFonts w:ascii="Arial" w:hAnsi="Arial" w:cs="Arial"/>
          <w:b/>
          <w:bCs/>
          <w:sz w:val="24"/>
        </w:rPr>
        <w:t>LTE_eMob-Core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FF238E" w:rsidRDefault="00FF238E" w:rsidP="00CF54E3">
      <w:pPr>
        <w:jc w:val="both"/>
        <w:rPr>
          <w:lang w:val="en-US"/>
        </w:rPr>
      </w:pPr>
      <w:r>
        <w:t>During the RAN2#93bis meeting in April 2016 two types of solutions to cater for the LTE HO shortcomings have been discussed: RACH-less HO (so-called: Solution 1) and make-before-break HO (so-called: Solution 2)</w:t>
      </w:r>
      <w:r w:rsidR="00EB5637">
        <w:t xml:space="preserve">. RAN2 has identified a couple of open issues and </w:t>
      </w:r>
      <w:r w:rsidR="008929D3">
        <w:t xml:space="preserve">decided to consult them with other WGs by sending </w:t>
      </w:r>
      <w:r w:rsidR="00822BAB">
        <w:t xml:space="preserve">an LS in </w:t>
      </w:r>
      <w:r w:rsidR="00822BAB">
        <w:fldChar w:fldCharType="begin"/>
      </w:r>
      <w:r w:rsidR="00822BAB">
        <w:instrText xml:space="preserve"> REF _Ref450742385 \r \h </w:instrText>
      </w:r>
      <w:r w:rsidR="00CF54E3">
        <w:instrText xml:space="preserve"> \* MERGEFORMAT </w:instrText>
      </w:r>
      <w:r w:rsidR="00822BAB">
        <w:fldChar w:fldCharType="separate"/>
      </w:r>
      <w:r w:rsidR="00457B77">
        <w:t>[2]</w:t>
      </w:r>
      <w:r w:rsidR="00822BAB">
        <w:fldChar w:fldCharType="end"/>
      </w:r>
      <w:r w:rsidR="00EB5637">
        <w:t>.</w:t>
      </w:r>
      <w:r w:rsidR="00822BAB">
        <w:t xml:space="preserve"> In addition, RAN2 has decided to continue the considerations on various aspect of Solution 2 in the post-meeting e-mail discussion (</w:t>
      </w:r>
      <w:r w:rsidR="001E5B5E">
        <w:t xml:space="preserve">i.e. </w:t>
      </w:r>
      <w:r w:rsidR="001E5B5E" w:rsidRPr="001E5B5E">
        <w:t>[93bis#28][LTE/Mobility enhancement]</w:t>
      </w:r>
      <w:r w:rsidR="001E5B5E">
        <w:t xml:space="preserve">, report available in </w:t>
      </w:r>
      <w:r w:rsidR="001E5B5E">
        <w:fldChar w:fldCharType="begin"/>
      </w:r>
      <w:r w:rsidR="001E5B5E">
        <w:instrText xml:space="preserve"> REF _Ref450742784 \r \h </w:instrText>
      </w:r>
      <w:r w:rsidR="00CF54E3">
        <w:instrText xml:space="preserve"> \* MERGEFORMAT </w:instrText>
      </w:r>
      <w:r w:rsidR="001E5B5E">
        <w:fldChar w:fldCharType="separate"/>
      </w:r>
      <w:r w:rsidR="00457B77">
        <w:t>[3]</w:t>
      </w:r>
      <w:r w:rsidR="001E5B5E">
        <w:fldChar w:fldCharType="end"/>
      </w:r>
      <w:r w:rsidR="00822BAB">
        <w:t>)</w:t>
      </w:r>
      <w:r w:rsidR="00EB5637">
        <w:t xml:space="preserve"> This paper further elaborates on possible implications of introducing “make-before-break” type of HO for LTE.</w:t>
      </w:r>
    </w:p>
    <w:p w:rsidR="00CD4C7B" w:rsidRPr="00964B40" w:rsidRDefault="00CF54E3" w:rsidP="00CD4C7B">
      <w:pPr>
        <w:pStyle w:val="Heading1"/>
        <w:rPr>
          <w:lang w:val="en-US"/>
        </w:rPr>
      </w:pPr>
      <w:r w:rsidRPr="00964B40">
        <w:rPr>
          <w:lang w:val="en-US"/>
        </w:rPr>
        <w:t>2</w:t>
      </w:r>
      <w:r w:rsidRPr="00964B40">
        <w:rPr>
          <w:lang w:val="en-US"/>
        </w:rPr>
        <w:tab/>
        <w:t>Discussion</w:t>
      </w:r>
    </w:p>
    <w:p w:rsidR="00BD4A99" w:rsidRDefault="00BD4A99" w:rsidP="00BD4A99">
      <w:pPr>
        <w:pStyle w:val="Heading2"/>
      </w:pPr>
      <w:r>
        <w:t>2.1</w:t>
      </w:r>
      <w:r>
        <w:tab/>
        <w:t xml:space="preserve">Keeping the </w:t>
      </w:r>
      <w:r w:rsidR="00371696">
        <w:t xml:space="preserve">unreliable </w:t>
      </w:r>
      <w:r>
        <w:t>link with a source cell</w:t>
      </w:r>
    </w:p>
    <w:p w:rsidR="00F52AD9" w:rsidRDefault="00BC779C" w:rsidP="006379D9">
      <w:pPr>
        <w:jc w:val="both"/>
      </w:pPr>
      <w:r w:rsidRPr="00BC779C">
        <w:t>One of the</w:t>
      </w:r>
      <w:r>
        <w:t xml:space="preserve"> main assumptions shared by “make-before-break” </w:t>
      </w:r>
      <w:r w:rsidRPr="00BC779C">
        <w:t>proponent</w:t>
      </w:r>
      <w:r>
        <w:t xml:space="preserve">s is </w:t>
      </w:r>
      <w:r w:rsidR="00D64C9D">
        <w:t xml:space="preserve">that it is </w:t>
      </w:r>
      <w:r>
        <w:t>feasib</w:t>
      </w:r>
      <w:r w:rsidR="00D64C9D">
        <w:t>le</w:t>
      </w:r>
      <w:r>
        <w:t xml:space="preserve"> </w:t>
      </w:r>
      <w:r w:rsidR="00D64C9D">
        <w:t>to</w:t>
      </w:r>
      <w:r>
        <w:t xml:space="preserve"> </w:t>
      </w:r>
      <w:r w:rsidR="00D64C9D">
        <w:t xml:space="preserve">still </w:t>
      </w:r>
      <w:r>
        <w:t xml:space="preserve">maintain a reliable connection with a source cell upon the reception of </w:t>
      </w:r>
      <w:r w:rsidRPr="00BC779C">
        <w:rPr>
          <w:i/>
        </w:rPr>
        <w:t>RRCConnectionReconfiguration</w:t>
      </w:r>
      <w:r>
        <w:t xml:space="preserve"> including </w:t>
      </w:r>
      <w:r w:rsidRPr="00BC779C">
        <w:rPr>
          <w:i/>
        </w:rPr>
        <w:t>mobilityControlInfo</w:t>
      </w:r>
      <w:r>
        <w:t xml:space="preserve">. </w:t>
      </w:r>
      <w:r w:rsidR="00D64C9D">
        <w:t xml:space="preserve">Since </w:t>
      </w:r>
      <w:r w:rsidR="00BD43D1">
        <w:t>HO is typically</w:t>
      </w:r>
      <w:r>
        <w:t xml:space="preserve"> triggered due to deteriorating radio conditions</w:t>
      </w:r>
      <w:r w:rsidR="00A25758">
        <w:t xml:space="preserve">, </w:t>
      </w:r>
      <w:r w:rsidR="00BD43D1">
        <w:t xml:space="preserve">keeping the </w:t>
      </w:r>
      <w:r>
        <w:t>source cell</w:t>
      </w:r>
      <w:r w:rsidR="00BD43D1">
        <w:t xml:space="preserve"> link</w:t>
      </w:r>
      <w:r>
        <w:t xml:space="preserve"> upon receiving</w:t>
      </w:r>
      <w:r w:rsidR="00BD43D1">
        <w:t xml:space="preserve"> HO command might not be a realistic expectation</w:t>
      </w:r>
      <w:r w:rsidR="00D64C9D">
        <w:t xml:space="preserve"> in all scenarios and might require changing the handover triggering conditions</w:t>
      </w:r>
      <w:r w:rsidR="00BD43D1">
        <w:t>.</w:t>
      </w:r>
      <w:r w:rsidR="00F52AD9">
        <w:t xml:space="preserve"> </w:t>
      </w:r>
    </w:p>
    <w:p w:rsidR="00BD43D1" w:rsidRDefault="00371696" w:rsidP="006379D9">
      <w:pPr>
        <w:jc w:val="both"/>
      </w:pPr>
      <w:r>
        <w:t>Another issue that potentially will have to be resolved if certain make-before-break solution is agreed</w:t>
      </w:r>
      <w:r w:rsidR="00F52AD9">
        <w:t xml:space="preserve"> is </w:t>
      </w:r>
      <w:r>
        <w:t xml:space="preserve">related to </w:t>
      </w:r>
      <w:r w:rsidR="00F52AD9">
        <w:t>retransmissions</w:t>
      </w:r>
      <w:r>
        <w:t xml:space="preserve">. It appears to be a justified supposition that </w:t>
      </w:r>
      <w:r w:rsidR="00964B40">
        <w:t>DL transmission from the source cell occurring</w:t>
      </w:r>
      <w:r>
        <w:t xml:space="preserve"> </w:t>
      </w:r>
      <w:r w:rsidR="00964B40">
        <w:t>upon the reception of HO command</w:t>
      </w:r>
      <w:r w:rsidR="00422903">
        <w:t xml:space="preserve"> (i.e. from</w:t>
      </w:r>
      <w:r w:rsidR="006D27EF">
        <w:t xml:space="preserve"> Phase II</w:t>
      </w:r>
      <w:r w:rsidR="00422903">
        <w:t xml:space="preserve"> onwards</w:t>
      </w:r>
      <w:r w:rsidR="006D27EF">
        <w:t xml:space="preserve">, according to the nomenclature proposed in </w:t>
      </w:r>
      <w:r w:rsidR="00422903">
        <w:fldChar w:fldCharType="begin"/>
      </w:r>
      <w:r w:rsidR="00422903">
        <w:instrText xml:space="preserve"> REF _Ref450742784 \r \h </w:instrText>
      </w:r>
      <w:r w:rsidR="006379D9">
        <w:instrText xml:space="preserve"> \* MERGEFORMAT </w:instrText>
      </w:r>
      <w:r w:rsidR="00422903">
        <w:fldChar w:fldCharType="separate"/>
      </w:r>
      <w:r w:rsidR="00457B77">
        <w:t>[3]</w:t>
      </w:r>
      <w:r w:rsidR="00422903">
        <w:fldChar w:fldCharType="end"/>
      </w:r>
      <w:r w:rsidR="006D27EF">
        <w:t>)</w:t>
      </w:r>
      <w:r w:rsidR="00964B40">
        <w:t xml:space="preserve"> may end up in incorrect</w:t>
      </w:r>
      <w:r w:rsidR="00422903">
        <w:t xml:space="preserve"> data reception and the resulting </w:t>
      </w:r>
      <w:r w:rsidR="006379D9">
        <w:t>necessity of retransmission</w:t>
      </w:r>
      <w:r w:rsidR="00422903">
        <w:t>.</w:t>
      </w:r>
      <w:r w:rsidR="006379D9">
        <w:t xml:space="preserve"> Handling those retransmissions </w:t>
      </w:r>
      <w:r w:rsidR="00D64C9D">
        <w:t xml:space="preserve">to source cell </w:t>
      </w:r>
      <w:r w:rsidR="006379D9">
        <w:t>while the HO is</w:t>
      </w:r>
      <w:r w:rsidR="00B8135B">
        <w:t xml:space="preserve"> being</w:t>
      </w:r>
      <w:r w:rsidR="006379D9">
        <w:t xml:space="preserve"> executed </w:t>
      </w:r>
      <w:r w:rsidR="00D64C9D">
        <w:t>could require additional complexity over single-link operation</w:t>
      </w:r>
      <w:r w:rsidR="006379D9">
        <w:t xml:space="preserve">. </w:t>
      </w:r>
      <w:r w:rsidR="00422903">
        <w:t xml:space="preserve"> </w:t>
      </w:r>
    </w:p>
    <w:p w:rsidR="00BD4A99" w:rsidRPr="00BC779C" w:rsidRDefault="00B8135B" w:rsidP="00097852">
      <w:pPr>
        <w:pStyle w:val="ListParagraph"/>
        <w:numPr>
          <w:ilvl w:val="0"/>
          <w:numId w:val="5"/>
        </w:numPr>
      </w:pPr>
      <w:bookmarkStart w:id="1" w:name="_Ref450834719"/>
      <w:r>
        <w:t>It may not be a realistic assumption that from Phase II onwards the connection to source cell allows to continue the data transmission. It may result in retransmissions which could be challenging to handle during the HO.</w:t>
      </w:r>
      <w:bookmarkEnd w:id="1"/>
      <w:r w:rsidR="002977DF">
        <w:br/>
      </w:r>
    </w:p>
    <w:p w:rsidR="00BD4A99" w:rsidRPr="006379D9" w:rsidRDefault="00BD4A99" w:rsidP="00BD4A99">
      <w:pPr>
        <w:pStyle w:val="Heading2"/>
        <w:rPr>
          <w:lang w:val="en-US"/>
        </w:rPr>
      </w:pPr>
      <w:r w:rsidRPr="006379D9">
        <w:rPr>
          <w:lang w:val="en-US"/>
        </w:rPr>
        <w:t>2.2</w:t>
      </w:r>
      <w:r w:rsidR="00421899">
        <w:rPr>
          <w:lang w:val="en-US"/>
        </w:rPr>
        <w:tab/>
        <w:t xml:space="preserve">Impact on </w:t>
      </w:r>
      <w:r w:rsidR="000F76D8">
        <w:rPr>
          <w:lang w:val="en-US"/>
        </w:rPr>
        <w:t>MRO and HO timers</w:t>
      </w:r>
    </w:p>
    <w:p w:rsidR="00390250" w:rsidRDefault="00D64C9D" w:rsidP="00C91670">
      <w:pPr>
        <w:jc w:val="both"/>
        <w:rPr>
          <w:lang w:val="en-US"/>
        </w:rPr>
      </w:pPr>
      <w:r>
        <w:rPr>
          <w:lang w:val="en-US"/>
        </w:rPr>
        <w:t xml:space="preserve">In the discussion </w:t>
      </w:r>
      <w:r w:rsidR="00BF310E">
        <w:rPr>
          <w:lang w:val="en-US"/>
        </w:rPr>
        <w:t>of make-before-break solutions</w:t>
      </w:r>
      <w:r>
        <w:rPr>
          <w:lang w:val="en-US"/>
        </w:rPr>
        <w:t>,</w:t>
      </w:r>
      <w:r w:rsidR="00BF310E">
        <w:rPr>
          <w:lang w:val="en-US"/>
        </w:rPr>
        <w:t xml:space="preserve"> various implications </w:t>
      </w:r>
      <w:r>
        <w:rPr>
          <w:lang w:val="en-US"/>
        </w:rPr>
        <w:t xml:space="preserve">have been considered </w:t>
      </w:r>
      <w:r w:rsidR="00BF310E">
        <w:rPr>
          <w:lang w:val="en-US"/>
        </w:rPr>
        <w:t>but the impact</w:t>
      </w:r>
      <w:r w:rsidDel="00D64C9D">
        <w:rPr>
          <w:lang w:val="en-US"/>
        </w:rPr>
        <w:t xml:space="preserve"> </w:t>
      </w:r>
      <w:r w:rsidR="002B4C95">
        <w:rPr>
          <w:lang w:val="en-US"/>
        </w:rPr>
        <w:t>on Mobility Robustness Optimis</w:t>
      </w:r>
      <w:r w:rsidR="00BF310E">
        <w:rPr>
          <w:lang w:val="en-US"/>
        </w:rPr>
        <w:t>ation (MRO) related and SON</w:t>
      </w:r>
      <w:r w:rsidR="00A25758">
        <w:rPr>
          <w:lang w:val="en-US"/>
        </w:rPr>
        <w:t xml:space="preserve"> </w:t>
      </w:r>
      <w:r w:rsidR="00BF310E">
        <w:rPr>
          <w:lang w:val="en-US"/>
        </w:rPr>
        <w:t>related definitions and mechanisms</w:t>
      </w:r>
      <w:r>
        <w:rPr>
          <w:lang w:val="en-US"/>
        </w:rPr>
        <w:t xml:space="preserve"> has not really been considered so far</w:t>
      </w:r>
      <w:r w:rsidR="00BF310E">
        <w:rPr>
          <w:lang w:val="en-US"/>
        </w:rPr>
        <w:t>.</w:t>
      </w:r>
      <w:r w:rsidR="002B4C95">
        <w:rPr>
          <w:lang w:val="en-US"/>
        </w:rPr>
        <w:t xml:space="preserve"> In o</w:t>
      </w:r>
      <w:r w:rsidR="006E7130">
        <w:rPr>
          <w:lang w:val="en-US"/>
        </w:rPr>
        <w:t>ur understanding, an introduction</w:t>
      </w:r>
      <w:r w:rsidR="002B4C95">
        <w:rPr>
          <w:lang w:val="en-US"/>
        </w:rPr>
        <w:t xml:space="preserve"> of almost any kind of make-before-break solution will yield the necessity to reconsider th</w:t>
      </w:r>
      <w:r w:rsidR="001031DD">
        <w:rPr>
          <w:lang w:val="en-US"/>
        </w:rPr>
        <w:t xml:space="preserve">e validity of MRO concepts </w:t>
      </w:r>
      <w:r w:rsidR="000F66E0">
        <w:rPr>
          <w:lang w:val="en-US"/>
        </w:rPr>
        <w:t>presented</w:t>
      </w:r>
      <w:r w:rsidR="001031DD">
        <w:rPr>
          <w:lang w:val="en-US"/>
        </w:rPr>
        <w:t xml:space="preserve"> e.g.</w:t>
      </w:r>
      <w:r w:rsidR="002B4C95">
        <w:rPr>
          <w:lang w:val="en-US"/>
        </w:rPr>
        <w:t xml:space="preserve"> in</w:t>
      </w:r>
      <w:r w:rsidR="001031DD">
        <w:rPr>
          <w:lang w:val="en-US"/>
        </w:rPr>
        <w:t xml:space="preserve"> </w:t>
      </w:r>
      <w:r w:rsidR="001031DD">
        <w:rPr>
          <w:lang w:val="en-US"/>
        </w:rPr>
        <w:fldChar w:fldCharType="begin"/>
      </w:r>
      <w:r w:rsidR="001031DD">
        <w:rPr>
          <w:lang w:val="en-US"/>
        </w:rPr>
        <w:instrText xml:space="preserve"> REF _Ref450752517 \r \h </w:instrText>
      </w:r>
      <w:r w:rsidR="0048019B">
        <w:rPr>
          <w:lang w:val="en-US"/>
        </w:rPr>
        <w:instrText xml:space="preserve"> \* MERGEFORMAT </w:instrText>
      </w:r>
      <w:r w:rsidR="001031DD">
        <w:rPr>
          <w:lang w:val="en-US"/>
        </w:rPr>
      </w:r>
      <w:r w:rsidR="001031DD">
        <w:rPr>
          <w:lang w:val="en-US"/>
        </w:rPr>
        <w:fldChar w:fldCharType="separate"/>
      </w:r>
      <w:r w:rsidR="00457B77">
        <w:rPr>
          <w:lang w:val="en-US"/>
        </w:rPr>
        <w:t>[5]</w:t>
      </w:r>
      <w:r w:rsidR="001031DD">
        <w:rPr>
          <w:lang w:val="en-US"/>
        </w:rPr>
        <w:fldChar w:fldCharType="end"/>
      </w:r>
      <w:r w:rsidR="002B4C95">
        <w:rPr>
          <w:lang w:val="en-US"/>
        </w:rPr>
        <w:t>, subsection 22.4.</w:t>
      </w:r>
      <w:r w:rsidR="001031DD">
        <w:rPr>
          <w:lang w:val="en-US"/>
        </w:rPr>
        <w:t xml:space="preserve"> As an example –</w:t>
      </w:r>
      <w:r w:rsidR="006E7130">
        <w:rPr>
          <w:lang w:val="en-US"/>
        </w:rPr>
        <w:t xml:space="preserve"> current description of “Too Late Handover” or “Too Early Handover” contain</w:t>
      </w:r>
      <w:r w:rsidR="00937674">
        <w:rPr>
          <w:lang w:val="en-US"/>
        </w:rPr>
        <w:t>s</w:t>
      </w:r>
      <w:r w:rsidR="006E7130">
        <w:rPr>
          <w:lang w:val="en-US"/>
        </w:rPr>
        <w:t xml:space="preserve"> such terms as “successful</w:t>
      </w:r>
      <w:r w:rsidR="00447435">
        <w:rPr>
          <w:lang w:val="en-US"/>
        </w:rPr>
        <w:t xml:space="preserve"> handover” or “handover failure”. With the requirement to keep th</w:t>
      </w:r>
      <w:r w:rsidR="000F66E0">
        <w:rPr>
          <w:lang w:val="en-US"/>
        </w:rPr>
        <w:t xml:space="preserve">e connection </w:t>
      </w:r>
      <w:r w:rsidR="00C91670">
        <w:rPr>
          <w:lang w:val="en-US"/>
        </w:rPr>
        <w:t>to</w:t>
      </w:r>
      <w:r w:rsidR="000F66E0">
        <w:rPr>
          <w:lang w:val="en-US"/>
        </w:rPr>
        <w:t xml:space="preserve"> a source cell </w:t>
      </w:r>
      <w:r w:rsidR="00B00B02">
        <w:rPr>
          <w:lang w:val="en-US"/>
        </w:rPr>
        <w:t>upon HO command, it may be necessary to redefine when actually a HO succes</w:t>
      </w:r>
      <w:r w:rsidR="000F76D8">
        <w:rPr>
          <w:lang w:val="en-US"/>
        </w:rPr>
        <w:t>s or failure should be reported</w:t>
      </w:r>
      <w:r w:rsidR="00B00B02">
        <w:rPr>
          <w:lang w:val="en-US"/>
        </w:rPr>
        <w:t>.</w:t>
      </w:r>
      <w:r w:rsidR="000F66E0">
        <w:rPr>
          <w:lang w:val="en-US"/>
        </w:rPr>
        <w:t xml:space="preserve"> </w:t>
      </w:r>
      <w:r w:rsidR="00E64C1A">
        <w:rPr>
          <w:lang w:val="en-US"/>
        </w:rPr>
        <w:t xml:space="preserve">Similar concerns have been expressed and described in detail in </w:t>
      </w:r>
      <w:r w:rsidR="00E64C1A">
        <w:rPr>
          <w:lang w:val="en-US"/>
        </w:rPr>
        <w:fldChar w:fldCharType="begin"/>
      </w:r>
      <w:r w:rsidR="00E64C1A">
        <w:rPr>
          <w:lang w:val="en-US"/>
        </w:rPr>
        <w:instrText xml:space="preserve"> REF _Ref450752052 \r \h </w:instrText>
      </w:r>
      <w:r w:rsidR="0048019B">
        <w:rPr>
          <w:lang w:val="en-US"/>
        </w:rPr>
        <w:instrText xml:space="preserve"> \* MERGEFORMAT </w:instrText>
      </w:r>
      <w:r w:rsidR="00E64C1A">
        <w:rPr>
          <w:lang w:val="en-US"/>
        </w:rPr>
      </w:r>
      <w:r w:rsidR="00E64C1A">
        <w:rPr>
          <w:lang w:val="en-US"/>
        </w:rPr>
        <w:fldChar w:fldCharType="separate"/>
      </w:r>
      <w:r w:rsidR="00457B77">
        <w:rPr>
          <w:lang w:val="en-US"/>
        </w:rPr>
        <w:t>[4]</w:t>
      </w:r>
      <w:r w:rsidR="00E64C1A">
        <w:rPr>
          <w:lang w:val="en-US"/>
        </w:rPr>
        <w:fldChar w:fldCharType="end"/>
      </w:r>
      <w:r w:rsidR="00E64C1A">
        <w:rPr>
          <w:lang w:val="en-US"/>
        </w:rPr>
        <w:t>, a paper submitted to RAN3#92 meeting.</w:t>
      </w:r>
      <w:r w:rsidR="00117A9E">
        <w:rPr>
          <w:lang w:val="en-US"/>
        </w:rPr>
        <w:t xml:space="preserve"> </w:t>
      </w:r>
    </w:p>
    <w:p w:rsidR="00117A9E" w:rsidRDefault="00117A9E" w:rsidP="0048019B">
      <w:pPr>
        <w:jc w:val="both"/>
        <w:rPr>
          <w:lang w:val="en-US"/>
        </w:rPr>
      </w:pPr>
      <w:r>
        <w:rPr>
          <w:lang w:val="en-US"/>
        </w:rPr>
        <w:t xml:space="preserve">In the legacy specification T304 is triggered upon the reception of HO command (i.e. in Phase II, as defined in </w:t>
      </w:r>
      <w:r>
        <w:rPr>
          <w:lang w:val="en-US"/>
        </w:rPr>
        <w:fldChar w:fldCharType="begin"/>
      </w:r>
      <w:r>
        <w:rPr>
          <w:lang w:val="en-US"/>
        </w:rPr>
        <w:instrText xml:space="preserve"> REF _Ref450742784 \r \h </w:instrText>
      </w:r>
      <w:r>
        <w:rPr>
          <w:lang w:val="en-US"/>
        </w:rPr>
      </w:r>
      <w:r>
        <w:rPr>
          <w:lang w:val="en-US"/>
        </w:rPr>
        <w:fldChar w:fldCharType="separate"/>
      </w:r>
      <w:r w:rsidR="00457B77">
        <w:rPr>
          <w:lang w:val="en-US"/>
        </w:rPr>
        <w:t>[3]</w:t>
      </w:r>
      <w:r>
        <w:rPr>
          <w:lang w:val="en-US"/>
        </w:rPr>
        <w:fldChar w:fldCharType="end"/>
      </w:r>
      <w:r>
        <w:rPr>
          <w:lang w:val="en-US"/>
        </w:rPr>
        <w:t xml:space="preserve">). However, in make-before-break HO the actions upon timer expiry (currently denoted by </w:t>
      </w:r>
      <w:r w:rsidR="007110EC">
        <w:rPr>
          <w:lang w:val="en-US"/>
        </w:rPr>
        <w:t>“</w:t>
      </w:r>
      <w:r>
        <w:rPr>
          <w:lang w:val="en-US"/>
        </w:rPr>
        <w:t>HO failure</w:t>
      </w:r>
      <w:r w:rsidR="007110EC">
        <w:rPr>
          <w:lang w:val="en-US"/>
        </w:rPr>
        <w:t>”</w:t>
      </w:r>
      <w:r>
        <w:rPr>
          <w:lang w:val="en-US"/>
        </w:rPr>
        <w:t>)</w:t>
      </w:r>
      <w:r w:rsidR="007110EC">
        <w:rPr>
          <w:lang w:val="en-US"/>
        </w:rPr>
        <w:t xml:space="preserve"> presumably might not be applicable. It seems to be a w</w:t>
      </w:r>
      <w:r w:rsidR="00A830CC">
        <w:rPr>
          <w:lang w:val="en-US"/>
        </w:rPr>
        <w:t xml:space="preserve">ell-grounded assumption that if </w:t>
      </w:r>
      <w:r w:rsidR="007110EC">
        <w:rPr>
          <w:lang w:val="en-US"/>
        </w:rPr>
        <w:t>t</w:t>
      </w:r>
      <w:r w:rsidR="00A830CC">
        <w:rPr>
          <w:lang w:val="en-US"/>
        </w:rPr>
        <w:t xml:space="preserve">he link to source cell is </w:t>
      </w:r>
      <w:r w:rsidR="007110EC">
        <w:rPr>
          <w:lang w:val="en-US"/>
        </w:rPr>
        <w:t xml:space="preserve">maintained and </w:t>
      </w:r>
      <w:r w:rsidR="00A830CC">
        <w:rPr>
          <w:lang w:val="en-US"/>
        </w:rPr>
        <w:t>operational</w:t>
      </w:r>
      <w:r w:rsidR="00C333ED">
        <w:rPr>
          <w:lang w:val="en-US"/>
        </w:rPr>
        <w:t xml:space="preserve"> there is no need to report HO failure and start resulting actions. Thus, if make-before-break HO is agreed, </w:t>
      </w:r>
      <w:r w:rsidR="00D64C9D">
        <w:rPr>
          <w:lang w:val="en-US"/>
        </w:rPr>
        <w:t xml:space="preserve">the handling of HO failure (and in particular the timer </w:t>
      </w:r>
      <w:r w:rsidR="00C333ED">
        <w:rPr>
          <w:lang w:val="en-US"/>
        </w:rPr>
        <w:t>T304</w:t>
      </w:r>
      <w:r w:rsidR="00D64C9D">
        <w:rPr>
          <w:lang w:val="en-US"/>
        </w:rPr>
        <w:t>)</w:t>
      </w:r>
      <w:r w:rsidR="00C333ED">
        <w:rPr>
          <w:lang w:val="en-US"/>
        </w:rPr>
        <w:t xml:space="preserve"> would </w:t>
      </w:r>
      <w:r w:rsidR="00D64C9D">
        <w:rPr>
          <w:lang w:val="en-US"/>
        </w:rPr>
        <w:t xml:space="preserve">need </w:t>
      </w:r>
      <w:r w:rsidR="00C333ED">
        <w:rPr>
          <w:lang w:val="en-US"/>
        </w:rPr>
        <w:t>to be redefined</w:t>
      </w:r>
      <w:r w:rsidR="00D64C9D">
        <w:rPr>
          <w:lang w:val="en-US"/>
        </w:rPr>
        <w:t xml:space="preserve">, and potentially even </w:t>
      </w:r>
      <w:r w:rsidR="00C333ED">
        <w:rPr>
          <w:lang w:val="en-US"/>
        </w:rPr>
        <w:t xml:space="preserve">a new set of relevant timers </w:t>
      </w:r>
      <w:r w:rsidR="00D64C9D">
        <w:rPr>
          <w:lang w:val="en-US"/>
        </w:rPr>
        <w:t xml:space="preserve">might </w:t>
      </w:r>
      <w:r w:rsidR="00C333ED">
        <w:rPr>
          <w:lang w:val="en-US"/>
        </w:rPr>
        <w:t xml:space="preserve">have to be introduced. </w:t>
      </w:r>
    </w:p>
    <w:p w:rsidR="00CA17B9" w:rsidRDefault="00E11660" w:rsidP="00CA17B9">
      <w:pPr>
        <w:pStyle w:val="ListParagraph"/>
        <w:numPr>
          <w:ilvl w:val="0"/>
          <w:numId w:val="5"/>
        </w:numPr>
        <w:jc w:val="both"/>
        <w:rPr>
          <w:lang w:val="en-US"/>
        </w:rPr>
      </w:pPr>
      <w:bookmarkStart w:id="2" w:name="_Ref450834733"/>
      <w:r>
        <w:rPr>
          <w:lang w:val="en-US"/>
        </w:rPr>
        <w:lastRenderedPageBreak/>
        <w:t xml:space="preserve">The introduction of </w:t>
      </w:r>
      <w:r w:rsidR="00FF3887">
        <w:rPr>
          <w:lang w:val="en-US"/>
        </w:rPr>
        <w:t xml:space="preserve">make-before-break HO for LTE may </w:t>
      </w:r>
      <w:r w:rsidR="00D64C9D">
        <w:rPr>
          <w:lang w:val="en-US"/>
        </w:rPr>
        <w:t xml:space="preserve">require </w:t>
      </w:r>
      <w:r w:rsidR="00FF3887">
        <w:rPr>
          <w:lang w:val="en-US"/>
        </w:rPr>
        <w:t>redefin</w:t>
      </w:r>
      <w:r w:rsidR="00D64C9D">
        <w:rPr>
          <w:lang w:val="en-US"/>
        </w:rPr>
        <w:t xml:space="preserve">ition of some </w:t>
      </w:r>
      <w:r w:rsidR="00FF3887">
        <w:rPr>
          <w:lang w:val="en-US"/>
        </w:rPr>
        <w:t xml:space="preserve">MRO </w:t>
      </w:r>
      <w:r w:rsidR="00D64C9D">
        <w:rPr>
          <w:lang w:val="en-US"/>
        </w:rPr>
        <w:t>aspects</w:t>
      </w:r>
      <w:r w:rsidR="00FF3887">
        <w:rPr>
          <w:lang w:val="en-US"/>
        </w:rPr>
        <w:t>, HO-related timers and actions upon declaring HO failure.</w:t>
      </w:r>
      <w:bookmarkEnd w:id="2"/>
    </w:p>
    <w:p w:rsidR="00C3025A" w:rsidRPr="00CA17B9" w:rsidRDefault="00C3025A" w:rsidP="00C3025A">
      <w:pPr>
        <w:pStyle w:val="ListParagraph"/>
        <w:ind w:left="0"/>
        <w:jc w:val="both"/>
        <w:rPr>
          <w:lang w:val="en-US"/>
        </w:rPr>
      </w:pPr>
    </w:p>
    <w:p w:rsidR="00DC1ABB" w:rsidRDefault="00DC1ABB" w:rsidP="00390250">
      <w:pPr>
        <w:pStyle w:val="Heading2"/>
        <w:rPr>
          <w:lang w:val="en-US"/>
        </w:rPr>
      </w:pPr>
      <w:r>
        <w:rPr>
          <w:lang w:val="en-US"/>
        </w:rPr>
        <w:t>2.3</w:t>
      </w:r>
      <w:r>
        <w:rPr>
          <w:lang w:val="en-US"/>
        </w:rPr>
        <w:tab/>
        <w:t xml:space="preserve">Security key </w:t>
      </w:r>
      <w:r w:rsidR="004D6F68">
        <w:rPr>
          <w:lang w:val="en-US"/>
        </w:rPr>
        <w:t>for make-before-break HO</w:t>
      </w:r>
    </w:p>
    <w:p w:rsidR="007F084E" w:rsidRDefault="004D6F68" w:rsidP="00CB6A0C">
      <w:pPr>
        <w:jc w:val="both"/>
        <w:rPr>
          <w:lang w:val="en-US"/>
        </w:rPr>
      </w:pPr>
      <w:r>
        <w:rPr>
          <w:lang w:val="en-US"/>
        </w:rPr>
        <w:t xml:space="preserve">As pointed out during the related e-mail discussion (i.e. </w:t>
      </w:r>
      <w:r w:rsidRPr="001E5B5E">
        <w:t>[93bis#28][LTE/Mobility enhancement]</w:t>
      </w:r>
      <w:r>
        <w:rPr>
          <w:lang w:val="en-US"/>
        </w:rPr>
        <w:t xml:space="preserve">), solutions classified as Category B, C, or D may have certain issues associated with security key handling. In the legacy LTE specification, UE can get rid of the source cell/eNB security key </w:t>
      </w:r>
      <w:r w:rsidR="007F084E">
        <w:rPr>
          <w:lang w:val="en-US"/>
        </w:rPr>
        <w:t xml:space="preserve">upon the reception of HO command. In the </w:t>
      </w:r>
      <w:r w:rsidR="00D64C9D">
        <w:rPr>
          <w:lang w:val="en-US"/>
        </w:rPr>
        <w:t>make-before-break</w:t>
      </w:r>
      <w:r w:rsidR="007F084E">
        <w:rPr>
          <w:lang w:val="en-US"/>
        </w:rPr>
        <w:t xml:space="preserve"> approach evaluated here, the UE </w:t>
      </w:r>
      <w:r w:rsidR="00D64C9D">
        <w:rPr>
          <w:lang w:val="en-US"/>
        </w:rPr>
        <w:t xml:space="preserve">seems to be </w:t>
      </w:r>
      <w:r w:rsidR="007F084E">
        <w:rPr>
          <w:lang w:val="en-US"/>
        </w:rPr>
        <w:t xml:space="preserve">expected to keep two (or more) </w:t>
      </w:r>
      <w:r w:rsidR="00D64C9D">
        <w:rPr>
          <w:lang w:val="en-US"/>
        </w:rPr>
        <w:t xml:space="preserve">PDCP security </w:t>
      </w:r>
      <w:r w:rsidR="007F084E">
        <w:rPr>
          <w:lang w:val="en-US"/>
        </w:rPr>
        <w:t xml:space="preserve">keys for integrity and ciphering, corresponding to the source and target cell. Such aspect has been underlined e.g. for Option 7 in </w:t>
      </w:r>
      <w:r w:rsidR="007F084E">
        <w:rPr>
          <w:lang w:val="en-US"/>
        </w:rPr>
        <w:fldChar w:fldCharType="begin"/>
      </w:r>
      <w:r w:rsidR="007F084E">
        <w:rPr>
          <w:lang w:val="en-US"/>
        </w:rPr>
        <w:instrText xml:space="preserve"> REF _Ref450742784 \r \h </w:instrText>
      </w:r>
      <w:r w:rsidR="002977DF">
        <w:rPr>
          <w:lang w:val="en-US"/>
        </w:rPr>
        <w:instrText xml:space="preserve"> \* MERGEFORMAT </w:instrText>
      </w:r>
      <w:r w:rsidR="007F084E">
        <w:rPr>
          <w:lang w:val="en-US"/>
        </w:rPr>
      </w:r>
      <w:r w:rsidR="007F084E">
        <w:rPr>
          <w:lang w:val="en-US"/>
        </w:rPr>
        <w:fldChar w:fldCharType="separate"/>
      </w:r>
      <w:r w:rsidR="00457B77">
        <w:rPr>
          <w:lang w:val="en-US"/>
        </w:rPr>
        <w:t>[3]</w:t>
      </w:r>
      <w:r w:rsidR="007F084E">
        <w:rPr>
          <w:lang w:val="en-US"/>
        </w:rPr>
        <w:fldChar w:fldCharType="end"/>
      </w:r>
      <w:r w:rsidR="007F084E">
        <w:rPr>
          <w:lang w:val="en-US"/>
        </w:rPr>
        <w:t>.</w:t>
      </w:r>
      <w:r w:rsidR="00D64C9D">
        <w:rPr>
          <w:lang w:val="en-US"/>
        </w:rPr>
        <w:t xml:space="preserve"> This would mean a change in the security architecture and would require consultation with SA3.</w:t>
      </w:r>
    </w:p>
    <w:p w:rsidR="00A509AA" w:rsidRPr="00A509AA" w:rsidRDefault="00581E00" w:rsidP="00A509AA">
      <w:pPr>
        <w:pStyle w:val="ListParagraph"/>
        <w:numPr>
          <w:ilvl w:val="0"/>
          <w:numId w:val="5"/>
        </w:numPr>
        <w:rPr>
          <w:lang w:val="en-US"/>
        </w:rPr>
      </w:pPr>
      <w:bookmarkStart w:id="3" w:name="_Ref450834747"/>
      <w:r>
        <w:rPr>
          <w:lang w:val="en-US"/>
        </w:rPr>
        <w:t>M</w:t>
      </w:r>
      <w:r w:rsidR="007F084E">
        <w:rPr>
          <w:lang w:val="en-US"/>
        </w:rPr>
        <w:t>ake-before-break HO can yield the issue with security key which may have to be consulted with other 3GPP WGs.</w:t>
      </w:r>
      <w:bookmarkEnd w:id="3"/>
    </w:p>
    <w:p w:rsidR="003174C6" w:rsidRDefault="003174C6" w:rsidP="003174C6">
      <w:pPr>
        <w:pStyle w:val="Heading2"/>
        <w:rPr>
          <w:lang w:val="en-US"/>
        </w:rPr>
      </w:pPr>
      <w:r>
        <w:rPr>
          <w:lang w:val="en-US"/>
        </w:rPr>
        <w:t>2.4</w:t>
      </w:r>
      <w:r>
        <w:rPr>
          <w:lang w:val="en-US"/>
        </w:rPr>
        <w:tab/>
        <w:t>make-before-break HO for Dual Connectivity</w:t>
      </w:r>
    </w:p>
    <w:p w:rsidR="00A509AA" w:rsidRDefault="00AC678A" w:rsidP="00861E16">
      <w:pPr>
        <w:jc w:val="both"/>
        <w:rPr>
          <w:lang w:val="en-US"/>
        </w:rPr>
      </w:pPr>
      <w:r>
        <w:rPr>
          <w:lang w:val="en-US"/>
        </w:rPr>
        <w:t xml:space="preserve">Categories B, C and D proposed in </w:t>
      </w:r>
      <w:r>
        <w:rPr>
          <w:lang w:val="en-US"/>
        </w:rPr>
        <w:fldChar w:fldCharType="begin"/>
      </w:r>
      <w:r>
        <w:rPr>
          <w:lang w:val="en-US"/>
        </w:rPr>
        <w:instrText xml:space="preserve"> REF _Ref450742784 \r \h </w:instrText>
      </w:r>
      <w:r w:rsidR="00861E16">
        <w:rPr>
          <w:lang w:val="en-US"/>
        </w:rPr>
        <w:instrText xml:space="preserve"> \* MERGEFORMAT </w:instrText>
      </w:r>
      <w:r>
        <w:rPr>
          <w:lang w:val="en-US"/>
        </w:rPr>
      </w:r>
      <w:r>
        <w:rPr>
          <w:lang w:val="en-US"/>
        </w:rPr>
        <w:fldChar w:fldCharType="separate"/>
      </w:r>
      <w:r w:rsidR="00457B77">
        <w:rPr>
          <w:lang w:val="en-US"/>
        </w:rPr>
        <w:t>[3]</w:t>
      </w:r>
      <w:r>
        <w:rPr>
          <w:lang w:val="en-US"/>
        </w:rPr>
        <w:fldChar w:fldCharType="end"/>
      </w:r>
      <w:r>
        <w:rPr>
          <w:lang w:val="en-US"/>
        </w:rPr>
        <w:t xml:space="preserve"> assume that the UE</w:t>
      </w:r>
      <w:r w:rsidR="00A509AA">
        <w:rPr>
          <w:lang w:val="en-US"/>
        </w:rPr>
        <w:t xml:space="preserve"> is supposed to</w:t>
      </w:r>
      <w:r>
        <w:rPr>
          <w:lang w:val="en-US"/>
        </w:rPr>
        <w:t xml:space="preserve"> simultaneously</w:t>
      </w:r>
      <w:r w:rsidR="00A509AA">
        <w:rPr>
          <w:lang w:val="en-US"/>
        </w:rPr>
        <w:t xml:space="preserve"> transmit or receive not only from</w:t>
      </w:r>
      <w:r>
        <w:rPr>
          <w:lang w:val="en-US"/>
        </w:rPr>
        <w:t>/to the source cell</w:t>
      </w:r>
      <w:r w:rsidR="00A509AA">
        <w:rPr>
          <w:lang w:val="en-US"/>
        </w:rPr>
        <w:t xml:space="preserve"> </w:t>
      </w:r>
      <w:r>
        <w:rPr>
          <w:lang w:val="en-US"/>
        </w:rPr>
        <w:t xml:space="preserve">but also from/to </w:t>
      </w:r>
      <w:r w:rsidR="001D2B97">
        <w:rPr>
          <w:lang w:val="en-US"/>
        </w:rPr>
        <w:t>“</w:t>
      </w:r>
      <w:r w:rsidR="00A509AA">
        <w:rPr>
          <w:lang w:val="en-US"/>
        </w:rPr>
        <w:t xml:space="preserve">another </w:t>
      </w:r>
      <w:r>
        <w:rPr>
          <w:lang w:val="en-US"/>
        </w:rPr>
        <w:t xml:space="preserve">intra-frequency </w:t>
      </w:r>
      <w:r w:rsidR="00A509AA">
        <w:rPr>
          <w:lang w:val="en-US"/>
        </w:rPr>
        <w:t>cell</w:t>
      </w:r>
      <w:r w:rsidR="001D2B97">
        <w:rPr>
          <w:lang w:val="en-US"/>
        </w:rPr>
        <w:t>”</w:t>
      </w:r>
      <w:r>
        <w:rPr>
          <w:lang w:val="en-US"/>
        </w:rPr>
        <w:t>.</w:t>
      </w:r>
      <w:r w:rsidR="00626D5E">
        <w:rPr>
          <w:lang w:val="en-US"/>
        </w:rPr>
        <w:t xml:space="preserve"> The following excerpt from </w:t>
      </w:r>
      <w:r w:rsidR="00626D5E">
        <w:rPr>
          <w:lang w:val="en-US"/>
        </w:rPr>
        <w:fldChar w:fldCharType="begin"/>
      </w:r>
      <w:r w:rsidR="00626D5E">
        <w:rPr>
          <w:lang w:val="en-US"/>
        </w:rPr>
        <w:instrText xml:space="preserve"> REF _Ref450742784 \r \h </w:instrText>
      </w:r>
      <w:r w:rsidR="00626D5E">
        <w:rPr>
          <w:lang w:val="en-US"/>
        </w:rPr>
      </w:r>
      <w:r w:rsidR="00626D5E">
        <w:rPr>
          <w:lang w:val="en-US"/>
        </w:rPr>
        <w:fldChar w:fldCharType="separate"/>
      </w:r>
      <w:r w:rsidR="00457B77">
        <w:rPr>
          <w:lang w:val="en-US"/>
        </w:rPr>
        <w:t>[3]</w:t>
      </w:r>
      <w:r w:rsidR="00626D5E">
        <w:rPr>
          <w:lang w:val="en-US"/>
        </w:rPr>
        <w:fldChar w:fldCharType="end"/>
      </w:r>
      <w:r w:rsidR="00626D5E">
        <w:rPr>
          <w:lang w:val="en-US"/>
        </w:rPr>
        <w:t xml:space="preserve"> provides the principles of this classification:</w:t>
      </w:r>
      <w:r>
        <w:rPr>
          <w:lang w:val="en-US"/>
        </w:rPr>
        <w:t xml:space="preserve">  </w:t>
      </w:r>
    </w:p>
    <w:p w:rsidR="00626D5E" w:rsidRDefault="00861E16" w:rsidP="003A4912">
      <w:pPr>
        <w:pStyle w:val="ListParagraph"/>
        <w:numPr>
          <w:ilvl w:val="0"/>
          <w:numId w:val="8"/>
        </w:numPr>
        <w:pBdr>
          <w:top w:val="single" w:sz="4" w:space="1" w:color="auto"/>
          <w:left w:val="single" w:sz="4" w:space="4" w:color="auto"/>
          <w:bottom w:val="single" w:sz="4" w:space="1" w:color="auto"/>
          <w:right w:val="single" w:sz="4" w:space="4" w:color="auto"/>
        </w:pBdr>
        <w:jc w:val="both"/>
        <w:rPr>
          <w:lang w:val="en-US"/>
        </w:rPr>
      </w:pPr>
      <w:r w:rsidRPr="00626D5E">
        <w:rPr>
          <w:lang w:val="en-US"/>
        </w:rPr>
        <w:t xml:space="preserve">Category B: No simultaneous Tx but need simultaneous Rx of PSS/SSS/CRS </w:t>
      </w:r>
      <w:r w:rsidRPr="00626D5E">
        <w:rPr>
          <w:highlight w:val="yellow"/>
          <w:lang w:val="en-US"/>
        </w:rPr>
        <w:t>from another intra-frequency cell</w:t>
      </w:r>
      <w:r w:rsidRPr="00626D5E">
        <w:rPr>
          <w:lang w:val="en-US"/>
        </w:rPr>
        <w:t>. Option 1/2a/4a/Option 6(1)</w:t>
      </w:r>
    </w:p>
    <w:p w:rsidR="00626D5E" w:rsidRDefault="00861E16" w:rsidP="003A4912">
      <w:pPr>
        <w:pStyle w:val="ListParagraph"/>
        <w:numPr>
          <w:ilvl w:val="0"/>
          <w:numId w:val="8"/>
        </w:numPr>
        <w:pBdr>
          <w:top w:val="single" w:sz="4" w:space="1" w:color="auto"/>
          <w:left w:val="single" w:sz="4" w:space="4" w:color="auto"/>
          <w:bottom w:val="single" w:sz="4" w:space="1" w:color="auto"/>
          <w:right w:val="single" w:sz="4" w:space="4" w:color="auto"/>
        </w:pBdr>
        <w:jc w:val="both"/>
        <w:rPr>
          <w:lang w:val="en-US"/>
        </w:rPr>
      </w:pPr>
      <w:r w:rsidRPr="00626D5E">
        <w:rPr>
          <w:lang w:val="en-US"/>
        </w:rPr>
        <w:t xml:space="preserve">Category C: Simultaneous Tx of PRACH </w:t>
      </w:r>
      <w:r w:rsidRPr="00626D5E">
        <w:rPr>
          <w:highlight w:val="yellow"/>
          <w:lang w:val="en-US"/>
        </w:rPr>
        <w:t>to another intra-frequency cell</w:t>
      </w:r>
      <w:r w:rsidRPr="00626D5E">
        <w:rPr>
          <w:lang w:val="en-US"/>
        </w:rPr>
        <w:t xml:space="preserve"> and simultaneous Rx of PDSCH/PDCCH </w:t>
      </w:r>
      <w:r w:rsidRPr="00626D5E">
        <w:rPr>
          <w:highlight w:val="yellow"/>
          <w:lang w:val="en-US"/>
        </w:rPr>
        <w:t>from another intra-frequency cell</w:t>
      </w:r>
      <w:r w:rsidRPr="00626D5E">
        <w:rPr>
          <w:lang w:val="en-US"/>
        </w:rPr>
        <w:t>. Option 6(2)</w:t>
      </w:r>
    </w:p>
    <w:p w:rsidR="00861E16" w:rsidRDefault="00861E16" w:rsidP="003A4912">
      <w:pPr>
        <w:pStyle w:val="ListParagraph"/>
        <w:numPr>
          <w:ilvl w:val="0"/>
          <w:numId w:val="8"/>
        </w:numPr>
        <w:pBdr>
          <w:top w:val="single" w:sz="4" w:space="1" w:color="auto"/>
          <w:left w:val="single" w:sz="4" w:space="4" w:color="auto"/>
          <w:bottom w:val="single" w:sz="4" w:space="1" w:color="auto"/>
          <w:right w:val="single" w:sz="4" w:space="4" w:color="auto"/>
        </w:pBdr>
        <w:jc w:val="both"/>
        <w:rPr>
          <w:lang w:val="en-US"/>
        </w:rPr>
      </w:pPr>
      <w:r w:rsidRPr="00626D5E">
        <w:rPr>
          <w:lang w:val="en-US"/>
        </w:rPr>
        <w:t xml:space="preserve">Category D: Simultaneous Tx of PRACH/PUSCH/PUCCH/SRS </w:t>
      </w:r>
      <w:r w:rsidRPr="00626D5E">
        <w:rPr>
          <w:highlight w:val="yellow"/>
          <w:lang w:val="en-US"/>
        </w:rPr>
        <w:t>to another intra-frequency cell</w:t>
      </w:r>
      <w:r w:rsidRPr="00626D5E">
        <w:rPr>
          <w:lang w:val="en-US"/>
        </w:rPr>
        <w:t xml:space="preserve"> and simultaneous Rx of PDSCH/PDCCH from another intra-frequency cell. Option 3/5/7/8/Option 6(3)</w:t>
      </w:r>
    </w:p>
    <w:p w:rsidR="00183E0D" w:rsidRDefault="00626D5E" w:rsidP="00626D5E">
      <w:pPr>
        <w:jc w:val="both"/>
        <w:rPr>
          <w:lang w:val="en-US"/>
        </w:rPr>
      </w:pPr>
      <w:r>
        <w:rPr>
          <w:lang w:val="en-US"/>
        </w:rPr>
        <w:t xml:space="preserve">However, </w:t>
      </w:r>
      <w:r w:rsidR="00D15FF6">
        <w:rPr>
          <w:lang w:val="en-US"/>
        </w:rPr>
        <w:t xml:space="preserve">a </w:t>
      </w:r>
      <w:r>
        <w:rPr>
          <w:lang w:val="en-US"/>
        </w:rPr>
        <w:t xml:space="preserve">singular form of the word </w:t>
      </w:r>
      <w:r w:rsidRPr="00626D5E">
        <w:rPr>
          <w:lang w:val="en-US"/>
        </w:rPr>
        <w:t xml:space="preserve">“cell” is </w:t>
      </w:r>
      <w:r w:rsidR="00D15FF6">
        <w:rPr>
          <w:lang w:val="en-US"/>
        </w:rPr>
        <w:t xml:space="preserve">definitely </w:t>
      </w:r>
      <w:r w:rsidRPr="00626D5E">
        <w:rPr>
          <w:lang w:val="en-US"/>
        </w:rPr>
        <w:t>no</w:t>
      </w:r>
      <w:r w:rsidR="00183E0D">
        <w:rPr>
          <w:lang w:val="en-US"/>
        </w:rPr>
        <w:t xml:space="preserve">t applicable to DC case. For example the tables for Option 6 in </w:t>
      </w:r>
      <w:r w:rsidR="00183E0D">
        <w:rPr>
          <w:lang w:val="en-US"/>
        </w:rPr>
        <w:fldChar w:fldCharType="begin"/>
      </w:r>
      <w:r w:rsidR="00183E0D">
        <w:rPr>
          <w:lang w:val="en-US"/>
        </w:rPr>
        <w:instrText xml:space="preserve"> REF _Ref450742784 \r \h </w:instrText>
      </w:r>
      <w:r w:rsidR="00183E0D">
        <w:rPr>
          <w:lang w:val="en-US"/>
        </w:rPr>
      </w:r>
      <w:r w:rsidR="00183E0D">
        <w:rPr>
          <w:lang w:val="en-US"/>
        </w:rPr>
        <w:fldChar w:fldCharType="separate"/>
      </w:r>
      <w:r w:rsidR="00457B77">
        <w:rPr>
          <w:lang w:val="en-US"/>
        </w:rPr>
        <w:t>[3]</w:t>
      </w:r>
      <w:r w:rsidR="00183E0D">
        <w:rPr>
          <w:lang w:val="en-US"/>
        </w:rPr>
        <w:fldChar w:fldCharType="end"/>
      </w:r>
      <w:r w:rsidR="00497E9A">
        <w:rPr>
          <w:lang w:val="en-US"/>
        </w:rPr>
        <w:t xml:space="preserve"> clearly depict</w:t>
      </w:r>
      <w:r w:rsidR="00183E0D">
        <w:rPr>
          <w:lang w:val="en-US"/>
        </w:rPr>
        <w:t xml:space="preserve"> that UE has to receive DL transmission from three cells in parallel. Th</w:t>
      </w:r>
      <w:r w:rsidR="00D15FF6">
        <w:rPr>
          <w:lang w:val="en-US"/>
        </w:rPr>
        <w:t>is possible complexity has to be emphasized and taken into account in the process of choosing the ultimate solution.</w:t>
      </w:r>
      <w:r w:rsidR="00183E0D">
        <w:rPr>
          <w:lang w:val="en-US"/>
        </w:rPr>
        <w:t xml:space="preserve"> </w:t>
      </w:r>
    </w:p>
    <w:p w:rsidR="00626D5E" w:rsidRPr="00183E0D" w:rsidRDefault="00581E00" w:rsidP="00183E0D">
      <w:pPr>
        <w:pStyle w:val="ListParagraph"/>
        <w:numPr>
          <w:ilvl w:val="0"/>
          <w:numId w:val="5"/>
        </w:numPr>
        <w:jc w:val="both"/>
        <w:rPr>
          <w:lang w:val="en-US"/>
        </w:rPr>
      </w:pPr>
      <w:bookmarkStart w:id="4" w:name="_Ref450834769"/>
      <w:r>
        <w:rPr>
          <w:lang w:val="en-US"/>
        </w:rPr>
        <w:t>Make-before-break HO for Dual Connectivity case might require simultaneous reception or transmission from/to three cells</w:t>
      </w:r>
      <w:r w:rsidR="004E3240">
        <w:rPr>
          <w:lang w:val="en-US"/>
        </w:rPr>
        <w:t xml:space="preserve">, i.e. </w:t>
      </w:r>
      <w:r w:rsidR="00FD5860">
        <w:rPr>
          <w:lang w:val="en-US"/>
        </w:rPr>
        <w:t>s</w:t>
      </w:r>
      <w:r w:rsidR="004E3240">
        <w:rPr>
          <w:lang w:val="en-US"/>
        </w:rPr>
        <w:t>ource PCell, source PSCell and target PCell or PSCell</w:t>
      </w:r>
      <w:r>
        <w:rPr>
          <w:lang w:val="en-US"/>
        </w:rPr>
        <w:t>.</w:t>
      </w:r>
      <w:bookmarkEnd w:id="4"/>
    </w:p>
    <w:p w:rsidR="003174C6" w:rsidRDefault="003174C6" w:rsidP="003174C6">
      <w:pPr>
        <w:pStyle w:val="Heading2"/>
        <w:rPr>
          <w:lang w:val="en-US"/>
        </w:rPr>
      </w:pPr>
      <w:r>
        <w:rPr>
          <w:lang w:val="en-US"/>
        </w:rPr>
        <w:t>2.5</w:t>
      </w:r>
      <w:r>
        <w:rPr>
          <w:lang w:val="en-US"/>
        </w:rPr>
        <w:tab/>
        <w:t>Option 4 with RACH-less approach</w:t>
      </w:r>
    </w:p>
    <w:p w:rsidR="00AA19AC" w:rsidRDefault="00457B77" w:rsidP="00C626A0">
      <w:pPr>
        <w:jc w:val="both"/>
        <w:rPr>
          <w:lang w:val="en-US"/>
        </w:rPr>
      </w:pPr>
      <w:r>
        <w:rPr>
          <w:lang w:val="en-US"/>
        </w:rPr>
        <w:t xml:space="preserve">To progress with the </w:t>
      </w:r>
      <w:r w:rsidR="00C91670">
        <w:rPr>
          <w:lang w:val="en-US"/>
        </w:rPr>
        <w:t>W</w:t>
      </w:r>
      <w:r>
        <w:rPr>
          <w:lang w:val="en-US"/>
        </w:rPr>
        <w:t xml:space="preserve">ork </w:t>
      </w:r>
      <w:r w:rsidR="00C91670">
        <w:rPr>
          <w:lang w:val="en-US"/>
        </w:rPr>
        <w:t>I</w:t>
      </w:r>
      <w:r>
        <w:rPr>
          <w:lang w:val="en-US"/>
        </w:rPr>
        <w:t xml:space="preserve">tem, it would be desirable to focus on only a single </w:t>
      </w:r>
      <w:r w:rsidR="005E7CEC">
        <w:rPr>
          <w:lang w:val="en-US"/>
        </w:rPr>
        <w:t>Option</w:t>
      </w:r>
      <w:r>
        <w:rPr>
          <w:lang w:val="en-US"/>
        </w:rPr>
        <w:t xml:space="preserve"> from the solution group 2</w:t>
      </w:r>
      <w:r w:rsidR="00C626A0">
        <w:rPr>
          <w:lang w:val="en-US"/>
        </w:rPr>
        <w:t xml:space="preserve">. An optimal solution would be the one having the lowest “pain versus gain” factor (i.e. providing the largest service interruption savings at the expense of reasonably low complexity). </w:t>
      </w:r>
      <w:r w:rsidR="003174C6">
        <w:rPr>
          <w:lang w:val="en-US"/>
        </w:rPr>
        <w:t xml:space="preserve">Among the Options listed in </w:t>
      </w:r>
      <w:r w:rsidR="003408C3">
        <w:rPr>
          <w:lang w:val="en-US"/>
        </w:rPr>
        <w:fldChar w:fldCharType="begin"/>
      </w:r>
      <w:r w:rsidR="003408C3">
        <w:rPr>
          <w:lang w:val="en-US"/>
        </w:rPr>
        <w:instrText xml:space="preserve"> REF _Ref450742784 \r \h </w:instrText>
      </w:r>
      <w:r w:rsidR="003408C3">
        <w:rPr>
          <w:lang w:val="en-US"/>
        </w:rPr>
      </w:r>
      <w:r w:rsidR="003408C3">
        <w:rPr>
          <w:lang w:val="en-US"/>
        </w:rPr>
        <w:fldChar w:fldCharType="separate"/>
      </w:r>
      <w:r>
        <w:rPr>
          <w:lang w:val="en-US"/>
        </w:rPr>
        <w:t>[3]</w:t>
      </w:r>
      <w:r w:rsidR="003408C3">
        <w:rPr>
          <w:lang w:val="en-US"/>
        </w:rPr>
        <w:fldChar w:fldCharType="end"/>
      </w:r>
      <w:r w:rsidR="003408C3">
        <w:rPr>
          <w:lang w:val="en-US"/>
        </w:rPr>
        <w:t xml:space="preserve"> we </w:t>
      </w:r>
      <w:r w:rsidR="005E7CEC">
        <w:rPr>
          <w:lang w:val="en-US"/>
        </w:rPr>
        <w:t>regard</w:t>
      </w:r>
      <w:r w:rsidR="003408C3">
        <w:rPr>
          <w:lang w:val="en-US"/>
        </w:rPr>
        <w:t xml:space="preserve"> Option 4 as hav</w:t>
      </w:r>
      <w:r w:rsidR="00AA19AC">
        <w:rPr>
          <w:lang w:val="en-US"/>
        </w:rPr>
        <w:t xml:space="preserve">ing </w:t>
      </w:r>
      <w:r w:rsidR="00C91670">
        <w:rPr>
          <w:lang w:val="en-US"/>
        </w:rPr>
        <w:t xml:space="preserve">a </w:t>
      </w:r>
      <w:r w:rsidR="00AA19AC">
        <w:rPr>
          <w:lang w:val="en-US"/>
        </w:rPr>
        <w:t>reasonable</w:t>
      </w:r>
      <w:r w:rsidR="005E7CEC">
        <w:rPr>
          <w:lang w:val="en-US"/>
        </w:rPr>
        <w:t xml:space="preserve"> balance between</w:t>
      </w:r>
      <w:r>
        <w:rPr>
          <w:lang w:val="en-US"/>
        </w:rPr>
        <w:t xml:space="preserve"> </w:t>
      </w:r>
      <w:r w:rsidR="005E7CEC">
        <w:rPr>
          <w:lang w:val="en-US"/>
        </w:rPr>
        <w:t xml:space="preserve">the level of </w:t>
      </w:r>
      <w:r w:rsidR="00AA19AC">
        <w:rPr>
          <w:lang w:val="en-US"/>
        </w:rPr>
        <w:t>functio</w:t>
      </w:r>
      <w:r>
        <w:rPr>
          <w:lang w:val="en-US"/>
        </w:rPr>
        <w:t>nality</w:t>
      </w:r>
      <w:r w:rsidR="005E7CEC">
        <w:rPr>
          <w:lang w:val="en-US"/>
        </w:rPr>
        <w:t xml:space="preserve"> enhancement</w:t>
      </w:r>
      <w:r w:rsidR="003408C3">
        <w:rPr>
          <w:lang w:val="en-US"/>
        </w:rPr>
        <w:t xml:space="preserve"> and</w:t>
      </w:r>
      <w:r w:rsidR="00AA19AC">
        <w:rPr>
          <w:lang w:val="en-US"/>
        </w:rPr>
        <w:t xml:space="preserve"> </w:t>
      </w:r>
      <w:r w:rsidR="005E7CEC">
        <w:rPr>
          <w:lang w:val="en-US"/>
        </w:rPr>
        <w:t>implementation</w:t>
      </w:r>
      <w:r w:rsidR="00AA19AC">
        <w:rPr>
          <w:lang w:val="en-US"/>
        </w:rPr>
        <w:t xml:space="preserve"> </w:t>
      </w:r>
      <w:r>
        <w:rPr>
          <w:lang w:val="en-US"/>
        </w:rPr>
        <w:t>complexity</w:t>
      </w:r>
      <w:r w:rsidR="00AA19AC">
        <w:rPr>
          <w:lang w:val="en-US"/>
        </w:rPr>
        <w:t xml:space="preserve">. As a result, </w:t>
      </w:r>
      <w:r w:rsidR="005E7CEC">
        <w:rPr>
          <w:lang w:val="en-US"/>
        </w:rPr>
        <w:t>s</w:t>
      </w:r>
      <w:r w:rsidR="00AA19AC">
        <w:rPr>
          <w:lang w:val="en-US"/>
        </w:rPr>
        <w:t>hould RAN2 decide to go towards “make-before-break” HO for LTE, Option 4 can serve as a solid basis for further considerations.</w:t>
      </w:r>
    </w:p>
    <w:p w:rsidR="00C626A0" w:rsidRDefault="00AA19AC" w:rsidP="00AA19AC">
      <w:pPr>
        <w:pStyle w:val="ListParagraph"/>
        <w:numPr>
          <w:ilvl w:val="0"/>
          <w:numId w:val="5"/>
        </w:numPr>
        <w:jc w:val="both"/>
        <w:rPr>
          <w:lang w:val="en-US"/>
        </w:rPr>
      </w:pPr>
      <w:bookmarkStart w:id="5" w:name="_Ref450834804"/>
      <w:r>
        <w:rPr>
          <w:lang w:val="en-US"/>
        </w:rPr>
        <w:t>Option 4 seems to guarantee a decent trade-off between the complexity and the gain for make-before-break HO in LTE.</w:t>
      </w:r>
      <w:bookmarkEnd w:id="5"/>
    </w:p>
    <w:p w:rsidR="00AA19AC" w:rsidRPr="00AA19AC" w:rsidRDefault="004B5AAF" w:rsidP="00AA19AC">
      <w:pPr>
        <w:jc w:val="both"/>
        <w:rPr>
          <w:lang w:val="en-US"/>
        </w:rPr>
      </w:pPr>
      <w:r>
        <w:rPr>
          <w:lang w:val="en-US"/>
        </w:rPr>
        <w:t>Summarizing it briefly, a</w:t>
      </w:r>
      <w:r w:rsidR="00AF1717">
        <w:rPr>
          <w:lang w:val="en-US"/>
        </w:rPr>
        <w:t>ll issues pointed out in the clauses 2</w:t>
      </w:r>
      <w:r w:rsidR="00912DC7">
        <w:rPr>
          <w:lang w:val="en-US"/>
        </w:rPr>
        <w:t>.1 – 2.5 lead to the following p</w:t>
      </w:r>
      <w:r w:rsidR="00AF1717">
        <w:rPr>
          <w:lang w:val="en-US"/>
        </w:rPr>
        <w:t>roposal:</w:t>
      </w:r>
    </w:p>
    <w:p w:rsidR="00464913" w:rsidRDefault="00464913" w:rsidP="009E18E3">
      <w:pPr>
        <w:pStyle w:val="ListParagraph"/>
        <w:numPr>
          <w:ilvl w:val="0"/>
          <w:numId w:val="7"/>
        </w:numPr>
        <w:rPr>
          <w:lang w:val="en-US"/>
        </w:rPr>
      </w:pPr>
      <w:bookmarkStart w:id="6" w:name="_Ref450834839"/>
      <w:r w:rsidRPr="00040775">
        <w:rPr>
          <w:lang w:val="en-US"/>
        </w:rPr>
        <w:t>RAN2 is kindly as</w:t>
      </w:r>
      <w:r w:rsidR="004B5AAF">
        <w:rPr>
          <w:lang w:val="en-US"/>
        </w:rPr>
        <w:t>ked</w:t>
      </w:r>
      <w:r w:rsidR="005E7CEC">
        <w:rPr>
          <w:lang w:val="en-US"/>
        </w:rPr>
        <w:t xml:space="preserve"> to</w:t>
      </w:r>
      <w:r w:rsidR="004B5AAF">
        <w:rPr>
          <w:lang w:val="en-US"/>
        </w:rPr>
        <w:t xml:space="preserve"> </w:t>
      </w:r>
      <w:r w:rsidR="00457B77">
        <w:rPr>
          <w:lang w:val="en-US"/>
        </w:rPr>
        <w:t xml:space="preserve">choose </w:t>
      </w:r>
      <w:r w:rsidR="00F003E8">
        <w:rPr>
          <w:lang w:val="en-US"/>
        </w:rPr>
        <w:t xml:space="preserve">at most </w:t>
      </w:r>
      <w:r w:rsidR="00457B77">
        <w:rPr>
          <w:lang w:val="en-US"/>
        </w:rPr>
        <w:t xml:space="preserve">one </w:t>
      </w:r>
      <w:r w:rsidR="00C91670">
        <w:rPr>
          <w:lang w:val="en-US"/>
        </w:rPr>
        <w:t>so</w:t>
      </w:r>
      <w:r w:rsidRPr="00040775">
        <w:rPr>
          <w:lang w:val="en-US"/>
        </w:rPr>
        <w:t xml:space="preserve">lution </w:t>
      </w:r>
      <w:r w:rsidR="00457B77">
        <w:rPr>
          <w:lang w:val="en-US"/>
        </w:rPr>
        <w:t xml:space="preserve">from the solution group 2 </w:t>
      </w:r>
      <w:r w:rsidRPr="00040775">
        <w:rPr>
          <w:lang w:val="en-US"/>
        </w:rPr>
        <w:t xml:space="preserve">to </w:t>
      </w:r>
      <w:r w:rsidR="00457B77">
        <w:rPr>
          <w:lang w:val="en-US"/>
        </w:rPr>
        <w:t xml:space="preserve">be </w:t>
      </w:r>
      <w:r w:rsidR="00587BA0">
        <w:rPr>
          <w:lang w:val="en-US"/>
        </w:rPr>
        <w:t xml:space="preserve">further </w:t>
      </w:r>
      <w:r w:rsidR="00457B77">
        <w:rPr>
          <w:lang w:val="en-US"/>
        </w:rPr>
        <w:t xml:space="preserve">considered in the </w:t>
      </w:r>
      <w:r w:rsidR="00F003E8">
        <w:rPr>
          <w:lang w:val="en-US"/>
        </w:rPr>
        <w:t>W</w:t>
      </w:r>
      <w:r w:rsidR="00457B77">
        <w:rPr>
          <w:lang w:val="en-US"/>
        </w:rPr>
        <w:t xml:space="preserve">ork </w:t>
      </w:r>
      <w:r w:rsidR="00F003E8">
        <w:rPr>
          <w:lang w:val="en-US"/>
        </w:rPr>
        <w:t>I</w:t>
      </w:r>
      <w:r w:rsidR="00457B77">
        <w:rPr>
          <w:lang w:val="en-US"/>
        </w:rPr>
        <w:t>tem</w:t>
      </w:r>
      <w:r w:rsidRPr="00040775">
        <w:rPr>
          <w:lang w:val="en-US"/>
        </w:rPr>
        <w:t>.</w:t>
      </w:r>
      <w:bookmarkEnd w:id="6"/>
    </w:p>
    <w:p w:rsidR="00717354" w:rsidRPr="00040775" w:rsidRDefault="00717354" w:rsidP="00717354">
      <w:pPr>
        <w:spacing w:after="0"/>
        <w:rPr>
          <w:lang w:val="en-US"/>
        </w:rPr>
      </w:pPr>
      <w:r>
        <w:rPr>
          <w:lang w:val="en-US"/>
        </w:rPr>
        <w:br w:type="page"/>
      </w:r>
    </w:p>
    <w:p w:rsidR="00CD4C7B" w:rsidRPr="00626D5E" w:rsidRDefault="00CD4C7B" w:rsidP="00CD4C7B">
      <w:pPr>
        <w:pStyle w:val="Heading1"/>
        <w:rPr>
          <w:lang w:val="en-US"/>
        </w:rPr>
      </w:pPr>
      <w:r w:rsidRPr="00626D5E">
        <w:rPr>
          <w:lang w:val="en-US"/>
        </w:rPr>
        <w:lastRenderedPageBreak/>
        <w:t>3</w:t>
      </w:r>
      <w:r w:rsidR="00626D5E" w:rsidRPr="00626D5E">
        <w:rPr>
          <w:lang w:val="en-US"/>
        </w:rPr>
        <w:tab/>
        <w:t>Conclusion</w:t>
      </w:r>
    </w:p>
    <w:p w:rsidR="00CD4C7B" w:rsidRDefault="00626D5E" w:rsidP="00717354">
      <w:pPr>
        <w:jc w:val="both"/>
        <w:rPr>
          <w:lang w:val="en-US"/>
        </w:rPr>
      </w:pPr>
      <w:r>
        <w:rPr>
          <w:lang w:val="en-US"/>
        </w:rPr>
        <w:t xml:space="preserve">This paper analyzed various </w:t>
      </w:r>
      <w:r w:rsidR="000F204B">
        <w:rPr>
          <w:lang w:val="en-US"/>
        </w:rPr>
        <w:t xml:space="preserve">possible </w:t>
      </w:r>
      <w:r>
        <w:rPr>
          <w:lang w:val="en-US"/>
        </w:rPr>
        <w:t xml:space="preserve">implications of make-before-break HO, if it is agreed as </w:t>
      </w:r>
      <w:r w:rsidR="000F204B">
        <w:rPr>
          <w:lang w:val="en-US"/>
        </w:rPr>
        <w:t>a remedy for data service interruption during the handover in LTE. The following</w:t>
      </w:r>
      <w:r w:rsidRPr="00626D5E">
        <w:rPr>
          <w:lang w:val="en-US"/>
        </w:rPr>
        <w:t xml:space="preserve"> Observations and Proposa</w:t>
      </w:r>
      <w:r w:rsidR="000F204B">
        <w:rPr>
          <w:lang w:val="en-US"/>
        </w:rPr>
        <w:t>ls have been made in this paper:</w:t>
      </w:r>
    </w:p>
    <w:p w:rsidR="000F204B" w:rsidRDefault="00717354" w:rsidP="00626D5E">
      <w:pPr>
        <w:rPr>
          <w:lang w:val="en-US"/>
        </w:rPr>
      </w:pPr>
      <w:r>
        <w:rPr>
          <w:b/>
          <w:lang w:val="en-US"/>
        </w:rPr>
        <w:fldChar w:fldCharType="begin"/>
      </w:r>
      <w:r w:rsidRPr="00717354">
        <w:rPr>
          <w:b/>
          <w:lang w:val="en-US"/>
        </w:rPr>
        <w:instrText xml:space="preserve"> REF _Ref450834719 \n \h </w:instrText>
      </w:r>
      <w:r>
        <w:rPr>
          <w:b/>
          <w:lang w:val="en-US"/>
        </w:rPr>
        <w:instrText xml:space="preserve"> \* MERGEFORMAT </w:instrText>
      </w:r>
      <w:r>
        <w:rPr>
          <w:b/>
          <w:lang w:val="en-US"/>
        </w:rPr>
      </w:r>
      <w:r>
        <w:rPr>
          <w:b/>
          <w:lang w:val="en-US"/>
        </w:rPr>
        <w:fldChar w:fldCharType="separate"/>
      </w:r>
      <w:r w:rsidR="00457B77">
        <w:rPr>
          <w:b/>
          <w:lang w:val="en-US"/>
        </w:rPr>
        <w:t>Observation</w:t>
      </w:r>
      <w:r w:rsidR="00457B77" w:rsidRPr="009E18E3">
        <w:rPr>
          <w:lang w:val="en-US"/>
        </w:rPr>
        <w:t xml:space="preserve"> </w:t>
      </w:r>
      <w:r w:rsidR="00457B77">
        <w:rPr>
          <w:b/>
          <w:lang w:val="en-US"/>
        </w:rPr>
        <w:t>1</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_Ref450834719 \h </w:instrText>
      </w:r>
      <w:r>
        <w:rPr>
          <w:lang w:val="en-US"/>
        </w:rPr>
      </w:r>
      <w:r>
        <w:rPr>
          <w:lang w:val="en-US"/>
        </w:rPr>
        <w:fldChar w:fldCharType="separate"/>
      </w:r>
      <w:r w:rsidR="00912DC7">
        <w:t>It may not be a realistic assumption that from Phase II onwards the connection to source cell allows to continue the data transmission. It may result in retransmissions which could be challenging to handle during the HO.</w:t>
      </w:r>
      <w:r>
        <w:rPr>
          <w:lang w:val="en-US"/>
        </w:rPr>
        <w:fldChar w:fldCharType="end"/>
      </w:r>
    </w:p>
    <w:p w:rsidR="00717354" w:rsidRDefault="00717354" w:rsidP="00626D5E">
      <w:pPr>
        <w:rPr>
          <w:lang w:val="en-US"/>
        </w:rPr>
      </w:pPr>
      <w:r>
        <w:rPr>
          <w:b/>
          <w:lang w:val="en-US"/>
        </w:rPr>
        <w:fldChar w:fldCharType="begin"/>
      </w:r>
      <w:r w:rsidRPr="00717354">
        <w:rPr>
          <w:b/>
          <w:lang w:val="en-US"/>
        </w:rPr>
        <w:instrText xml:space="preserve"> REF _Ref450834733 \n \h </w:instrText>
      </w:r>
      <w:r>
        <w:rPr>
          <w:b/>
          <w:lang w:val="en-US"/>
        </w:rPr>
        <w:instrText xml:space="preserve"> \* MERGEFORMAT </w:instrText>
      </w:r>
      <w:r>
        <w:rPr>
          <w:b/>
          <w:lang w:val="en-US"/>
        </w:rPr>
      </w:r>
      <w:r>
        <w:rPr>
          <w:b/>
          <w:lang w:val="en-US"/>
        </w:rPr>
        <w:fldChar w:fldCharType="separate"/>
      </w:r>
      <w:r w:rsidR="00457B77">
        <w:rPr>
          <w:b/>
          <w:lang w:val="en-US"/>
        </w:rPr>
        <w:t>Observation 2</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_Ref450834733 \h </w:instrText>
      </w:r>
      <w:r>
        <w:rPr>
          <w:lang w:val="en-US"/>
        </w:rPr>
      </w:r>
      <w:r>
        <w:rPr>
          <w:lang w:val="en-US"/>
        </w:rPr>
        <w:fldChar w:fldCharType="separate"/>
      </w:r>
      <w:r w:rsidR="00912DC7">
        <w:rPr>
          <w:lang w:val="en-US"/>
        </w:rPr>
        <w:t>The introduction of make-before-break HO for LTE may require redefinition of some MRO aspects, HO-related timers and actions upon declaring HO failure.</w:t>
      </w:r>
      <w:r>
        <w:rPr>
          <w:lang w:val="en-US"/>
        </w:rPr>
        <w:fldChar w:fldCharType="end"/>
      </w:r>
    </w:p>
    <w:p w:rsidR="00717354" w:rsidRDefault="00717354" w:rsidP="00626D5E">
      <w:pPr>
        <w:rPr>
          <w:lang w:val="en-US"/>
        </w:rPr>
      </w:pPr>
      <w:r>
        <w:rPr>
          <w:b/>
          <w:lang w:val="en-US"/>
        </w:rPr>
        <w:fldChar w:fldCharType="begin"/>
      </w:r>
      <w:r w:rsidRPr="00717354">
        <w:rPr>
          <w:b/>
          <w:lang w:val="en-US"/>
        </w:rPr>
        <w:instrText xml:space="preserve"> REF _Ref450834747 \n \h </w:instrText>
      </w:r>
      <w:r>
        <w:rPr>
          <w:b/>
          <w:lang w:val="en-US"/>
        </w:rPr>
        <w:instrText xml:space="preserve"> \* MERGEFORMAT </w:instrText>
      </w:r>
      <w:r>
        <w:rPr>
          <w:b/>
          <w:lang w:val="en-US"/>
        </w:rPr>
      </w:r>
      <w:r>
        <w:rPr>
          <w:b/>
          <w:lang w:val="en-US"/>
        </w:rPr>
        <w:fldChar w:fldCharType="separate"/>
      </w:r>
      <w:r w:rsidR="00457B77">
        <w:rPr>
          <w:b/>
          <w:lang w:val="en-US"/>
        </w:rPr>
        <w:t>Observation 3</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_Ref450834747 \h </w:instrText>
      </w:r>
      <w:r>
        <w:rPr>
          <w:lang w:val="en-US"/>
        </w:rPr>
      </w:r>
      <w:r>
        <w:rPr>
          <w:lang w:val="en-US"/>
        </w:rPr>
        <w:fldChar w:fldCharType="separate"/>
      </w:r>
      <w:r w:rsidR="00912DC7">
        <w:rPr>
          <w:lang w:val="en-US"/>
        </w:rPr>
        <w:t>Make-before-break HO can yield the issue with security key which may have to be consulted with other 3GPP WGs.</w:t>
      </w:r>
      <w:r>
        <w:rPr>
          <w:lang w:val="en-US"/>
        </w:rPr>
        <w:fldChar w:fldCharType="end"/>
      </w:r>
    </w:p>
    <w:p w:rsidR="00717354" w:rsidRDefault="00717354" w:rsidP="00626D5E">
      <w:pPr>
        <w:rPr>
          <w:lang w:val="en-US"/>
        </w:rPr>
      </w:pPr>
      <w:r>
        <w:rPr>
          <w:b/>
          <w:lang w:val="en-US"/>
        </w:rPr>
        <w:fldChar w:fldCharType="begin"/>
      </w:r>
      <w:r w:rsidRPr="00717354">
        <w:rPr>
          <w:b/>
          <w:lang w:val="en-US"/>
        </w:rPr>
        <w:instrText xml:space="preserve"> REF _Ref450834769 \n \h </w:instrText>
      </w:r>
      <w:r>
        <w:rPr>
          <w:b/>
          <w:lang w:val="en-US"/>
        </w:rPr>
        <w:instrText xml:space="preserve"> \* MERGEFORMAT </w:instrText>
      </w:r>
      <w:r>
        <w:rPr>
          <w:b/>
          <w:lang w:val="en-US"/>
        </w:rPr>
      </w:r>
      <w:r>
        <w:rPr>
          <w:b/>
          <w:lang w:val="en-US"/>
        </w:rPr>
        <w:fldChar w:fldCharType="separate"/>
      </w:r>
      <w:r w:rsidR="00457B77">
        <w:rPr>
          <w:b/>
          <w:lang w:val="en-US"/>
        </w:rPr>
        <w:t>Observation</w:t>
      </w:r>
      <w:r w:rsidR="00457B77" w:rsidRPr="009E18E3">
        <w:rPr>
          <w:lang w:val="en-US"/>
        </w:rPr>
        <w:t xml:space="preserve"> </w:t>
      </w:r>
      <w:r w:rsidR="00457B77">
        <w:rPr>
          <w:b/>
          <w:lang w:val="en-US"/>
        </w:rPr>
        <w:t>4</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_Ref450834769 \h </w:instrText>
      </w:r>
      <w:r>
        <w:rPr>
          <w:lang w:val="en-US"/>
        </w:rPr>
      </w:r>
      <w:r>
        <w:rPr>
          <w:lang w:val="en-US"/>
        </w:rPr>
        <w:fldChar w:fldCharType="separate"/>
      </w:r>
      <w:r w:rsidR="00912DC7">
        <w:rPr>
          <w:lang w:val="en-US"/>
        </w:rPr>
        <w:t>Make-before-break HO for Dual Connectivity case might require simultaneous reception or transmission from/to three cells, i.e. source PCell, source PSCell and target PCell or PSCell.</w:t>
      </w:r>
      <w:r>
        <w:rPr>
          <w:lang w:val="en-US"/>
        </w:rPr>
        <w:fldChar w:fldCharType="end"/>
      </w:r>
    </w:p>
    <w:p w:rsidR="00717354" w:rsidRDefault="00717354" w:rsidP="00626D5E">
      <w:pPr>
        <w:rPr>
          <w:lang w:val="en-US"/>
        </w:rPr>
      </w:pPr>
      <w:r>
        <w:rPr>
          <w:b/>
          <w:lang w:val="en-US"/>
        </w:rPr>
        <w:fldChar w:fldCharType="begin"/>
      </w:r>
      <w:r w:rsidRPr="00717354">
        <w:rPr>
          <w:b/>
          <w:lang w:val="en-US"/>
        </w:rPr>
        <w:instrText xml:space="preserve"> REF _Ref450834804 \n \h </w:instrText>
      </w:r>
      <w:r>
        <w:rPr>
          <w:b/>
          <w:lang w:val="en-US"/>
        </w:rPr>
        <w:instrText xml:space="preserve"> \* MERGEFORMAT </w:instrText>
      </w:r>
      <w:r>
        <w:rPr>
          <w:b/>
          <w:lang w:val="en-US"/>
        </w:rPr>
      </w:r>
      <w:r>
        <w:rPr>
          <w:b/>
          <w:lang w:val="en-US"/>
        </w:rPr>
        <w:fldChar w:fldCharType="separate"/>
      </w:r>
      <w:r w:rsidR="00457B77">
        <w:rPr>
          <w:b/>
          <w:lang w:val="en-US"/>
        </w:rPr>
        <w:t>Observation</w:t>
      </w:r>
      <w:r w:rsidR="00457B77" w:rsidRPr="009E18E3">
        <w:rPr>
          <w:lang w:val="en-US"/>
        </w:rPr>
        <w:t xml:space="preserve"> </w:t>
      </w:r>
      <w:r w:rsidR="00457B77">
        <w:rPr>
          <w:b/>
          <w:lang w:val="en-US"/>
        </w:rPr>
        <w:t>5</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_Ref450834804 \h </w:instrText>
      </w:r>
      <w:r>
        <w:rPr>
          <w:lang w:val="en-US"/>
        </w:rPr>
      </w:r>
      <w:r>
        <w:rPr>
          <w:lang w:val="en-US"/>
        </w:rPr>
        <w:fldChar w:fldCharType="separate"/>
      </w:r>
      <w:r w:rsidR="00912DC7">
        <w:rPr>
          <w:lang w:val="en-US"/>
        </w:rPr>
        <w:t>Option 4 seems to guarantee a decent trade-off between the complexity and the gain for make-before-break HO in LTE.</w:t>
      </w:r>
      <w:r>
        <w:rPr>
          <w:lang w:val="en-US"/>
        </w:rPr>
        <w:fldChar w:fldCharType="end"/>
      </w:r>
    </w:p>
    <w:p w:rsidR="00717354" w:rsidRPr="000F204B" w:rsidRDefault="00717354" w:rsidP="00626D5E">
      <w:pPr>
        <w:rPr>
          <w:lang w:val="en-US"/>
        </w:rPr>
      </w:pPr>
      <w:r>
        <w:rPr>
          <w:b/>
          <w:lang w:val="en-US"/>
        </w:rPr>
        <w:fldChar w:fldCharType="begin"/>
      </w:r>
      <w:r w:rsidRPr="00717354">
        <w:rPr>
          <w:b/>
          <w:lang w:val="en-US"/>
        </w:rPr>
        <w:instrText xml:space="preserve"> REF _Ref450834839 \n \h </w:instrText>
      </w:r>
      <w:r>
        <w:rPr>
          <w:b/>
          <w:lang w:val="en-US"/>
        </w:rPr>
        <w:instrText xml:space="preserve"> \* MERGEFORMAT </w:instrText>
      </w:r>
      <w:r>
        <w:rPr>
          <w:b/>
          <w:lang w:val="en-US"/>
        </w:rPr>
      </w:r>
      <w:r>
        <w:rPr>
          <w:b/>
          <w:lang w:val="en-US"/>
        </w:rPr>
        <w:fldChar w:fldCharType="separate"/>
      </w:r>
      <w:r w:rsidR="00457B77">
        <w:rPr>
          <w:b/>
          <w:lang w:val="en-US"/>
        </w:rPr>
        <w:t>Proposal</w:t>
      </w:r>
      <w:r w:rsidR="00457B77" w:rsidRPr="009E18E3">
        <w:rPr>
          <w:lang w:val="en-US"/>
        </w:rPr>
        <w:t xml:space="preserve"> </w:t>
      </w:r>
      <w:r w:rsidR="00457B77">
        <w:rPr>
          <w:b/>
          <w:lang w:val="en-US"/>
        </w:rPr>
        <w:t>1</w:t>
      </w:r>
      <w:r w:rsidR="00457B77" w:rsidRPr="009E18E3">
        <w:rPr>
          <w:lang w:val="en-US"/>
        </w:rPr>
        <w:t>:</w:t>
      </w:r>
      <w:r>
        <w:rPr>
          <w:lang w:val="en-US"/>
        </w:rPr>
        <w:fldChar w:fldCharType="end"/>
      </w:r>
      <w:r>
        <w:rPr>
          <w:lang w:val="en-US"/>
        </w:rPr>
        <w:t xml:space="preserve"> </w:t>
      </w:r>
      <w:r>
        <w:rPr>
          <w:lang w:val="en-US"/>
        </w:rPr>
        <w:fldChar w:fldCharType="begin"/>
      </w:r>
      <w:r>
        <w:rPr>
          <w:lang w:val="en-US"/>
        </w:rPr>
        <w:instrText xml:space="preserve"> REF _Ref450834839 \h </w:instrText>
      </w:r>
      <w:r>
        <w:rPr>
          <w:lang w:val="en-US"/>
        </w:rPr>
      </w:r>
      <w:r>
        <w:rPr>
          <w:lang w:val="en-US"/>
        </w:rPr>
        <w:fldChar w:fldCharType="separate"/>
      </w:r>
      <w:r w:rsidR="00912DC7" w:rsidRPr="00040775">
        <w:rPr>
          <w:lang w:val="en-US"/>
        </w:rPr>
        <w:t>RAN2 is kindly as</w:t>
      </w:r>
      <w:r w:rsidR="00912DC7">
        <w:rPr>
          <w:lang w:val="en-US"/>
        </w:rPr>
        <w:t>ked to choose at most one so</w:t>
      </w:r>
      <w:r w:rsidR="00912DC7" w:rsidRPr="00040775">
        <w:rPr>
          <w:lang w:val="en-US"/>
        </w:rPr>
        <w:t xml:space="preserve">lution </w:t>
      </w:r>
      <w:r w:rsidR="00912DC7">
        <w:rPr>
          <w:lang w:val="en-US"/>
        </w:rPr>
        <w:t xml:space="preserve">from the solution group 2 </w:t>
      </w:r>
      <w:r w:rsidR="00912DC7" w:rsidRPr="00040775">
        <w:rPr>
          <w:lang w:val="en-US"/>
        </w:rPr>
        <w:t xml:space="preserve">to </w:t>
      </w:r>
      <w:r w:rsidR="00912DC7">
        <w:rPr>
          <w:lang w:val="en-US"/>
        </w:rPr>
        <w:t>be further considered in the Work Item</w:t>
      </w:r>
      <w:r w:rsidR="00912DC7" w:rsidRPr="00040775">
        <w:rPr>
          <w:lang w:val="en-US"/>
        </w:rPr>
        <w:t>.</w:t>
      </w:r>
      <w:r>
        <w:rPr>
          <w:lang w:val="en-US"/>
        </w:rPr>
        <w:fldChar w:fldCharType="end"/>
      </w:r>
    </w:p>
    <w:p w:rsidR="00CD4C7B" w:rsidRPr="006E13D1" w:rsidRDefault="00CD4C7B" w:rsidP="00CD4C7B">
      <w:pPr>
        <w:pStyle w:val="Heading1"/>
      </w:pPr>
      <w:r w:rsidRPr="006E13D1">
        <w:t>References</w:t>
      </w:r>
    </w:p>
    <w:bookmarkStart w:id="7" w:name="_Ref75086397"/>
    <w:p w:rsidR="00822BAB" w:rsidRPr="006E13D1" w:rsidRDefault="00127F57" w:rsidP="00127F57">
      <w:pPr>
        <w:numPr>
          <w:ilvl w:val="0"/>
          <w:numId w:val="4"/>
        </w:numPr>
        <w:overflowPunct w:val="0"/>
        <w:autoSpaceDE w:val="0"/>
        <w:autoSpaceDN w:val="0"/>
        <w:adjustRightInd w:val="0"/>
        <w:textAlignment w:val="baseline"/>
      </w:pPr>
      <w:r>
        <w:fldChar w:fldCharType="begin"/>
      </w:r>
      <w:r>
        <w:instrText xml:space="preserve"> HYPERLINK "ftp://ftp.3gpp.org/tsg_ran/WG2_RL2/TSGR2_93bis/Report/R2-163301.zip" </w:instrText>
      </w:r>
      <w:r>
        <w:fldChar w:fldCharType="separate"/>
      </w:r>
      <w:r w:rsidRPr="00127F57">
        <w:rPr>
          <w:rStyle w:val="Hyperlink"/>
        </w:rPr>
        <w:t>R2-163301</w:t>
      </w:r>
      <w:r>
        <w:fldChar w:fldCharType="end"/>
      </w:r>
      <w:r>
        <w:t xml:space="preserve">, </w:t>
      </w:r>
      <w:r w:rsidR="00CD4C7B" w:rsidRPr="006E13D1">
        <w:t xml:space="preserve"> </w:t>
      </w:r>
      <w:r w:rsidRPr="00127F57">
        <w:rPr>
          <w:i/>
        </w:rPr>
        <w:t>Draft Report of 3GPP TSG RAN WG2 meeting #93bis, Dubrovnik, Croatia, 11th – 15th April 2016</w:t>
      </w:r>
    </w:p>
    <w:bookmarkStart w:id="8" w:name="_Ref450742385"/>
    <w:p w:rsidR="00CD4C7B" w:rsidRDefault="008929D3" w:rsidP="008929D3">
      <w:pPr>
        <w:numPr>
          <w:ilvl w:val="0"/>
          <w:numId w:val="4"/>
        </w:numPr>
        <w:overflowPunct w:val="0"/>
        <w:autoSpaceDE w:val="0"/>
        <w:autoSpaceDN w:val="0"/>
        <w:adjustRightInd w:val="0"/>
        <w:textAlignment w:val="baseline"/>
      </w:pPr>
      <w:r>
        <w:fldChar w:fldCharType="begin"/>
      </w:r>
      <w:r>
        <w:instrText xml:space="preserve"> HYPERLINK "http://3gpp.org/ftp/tsg_ran/WG2_RL2/TSGR2_93bis/Docs/R2-163135.zip" </w:instrText>
      </w:r>
      <w:r>
        <w:fldChar w:fldCharType="separate"/>
      </w:r>
      <w:r w:rsidRPr="008929D3">
        <w:rPr>
          <w:rStyle w:val="Hyperlink"/>
        </w:rPr>
        <w:t>R2-163135</w:t>
      </w:r>
      <w:r>
        <w:fldChar w:fldCharType="end"/>
      </w:r>
      <w:r w:rsidR="00CD4C7B" w:rsidRPr="006E13D1">
        <w:t xml:space="preserve">, </w:t>
      </w:r>
      <w:r w:rsidRPr="008929D3">
        <w:rPr>
          <w:i/>
        </w:rPr>
        <w:t>LS on the feasibility of mobility enhancement solutions</w:t>
      </w:r>
      <w:bookmarkEnd w:id="7"/>
      <w:r>
        <w:t xml:space="preserve">, </w:t>
      </w:r>
      <w:r w:rsidRPr="008929D3">
        <w:t>3GPP TSG-RAN WG2 Meeting #93bis</w:t>
      </w:r>
      <w:r>
        <w:t xml:space="preserve">, </w:t>
      </w:r>
      <w:r w:rsidRPr="008929D3">
        <w:t>Dubrovnik, Croatia, 11th – 15th April 2016</w:t>
      </w:r>
      <w:bookmarkEnd w:id="8"/>
    </w:p>
    <w:bookmarkStart w:id="9" w:name="_Ref450742784"/>
    <w:p w:rsidR="00822BAB" w:rsidRDefault="00C91670" w:rsidP="00822BAB">
      <w:pPr>
        <w:numPr>
          <w:ilvl w:val="0"/>
          <w:numId w:val="4"/>
        </w:numPr>
        <w:overflowPunct w:val="0"/>
        <w:autoSpaceDE w:val="0"/>
        <w:autoSpaceDN w:val="0"/>
        <w:adjustRightInd w:val="0"/>
        <w:textAlignment w:val="baseline"/>
      </w:pPr>
      <w:r>
        <w:fldChar w:fldCharType="begin"/>
      </w:r>
      <w:r>
        <w:instrText xml:space="preserve"> HYPERLINK "http://3gpp.org/ftp/tsg_ran/WG2_RL2/TSGR2_94/Docs/R2-163863.zip" </w:instrText>
      </w:r>
      <w:r>
        <w:fldChar w:fldCharType="separate"/>
      </w:r>
      <w:r w:rsidR="00822BAB" w:rsidRPr="00C91670">
        <w:rPr>
          <w:rStyle w:val="Hyperlink"/>
        </w:rPr>
        <w:t>R2-16</w:t>
      </w:r>
      <w:r w:rsidRPr="00C91670">
        <w:rPr>
          <w:rStyle w:val="Hyperlink"/>
        </w:rPr>
        <w:t>3863</w:t>
      </w:r>
      <w:r>
        <w:fldChar w:fldCharType="end"/>
      </w:r>
      <w:r w:rsidR="00822BAB">
        <w:t xml:space="preserve">, </w:t>
      </w:r>
      <w:r w:rsidR="00822BAB" w:rsidRPr="00822BAB">
        <w:rPr>
          <w:i/>
        </w:rPr>
        <w:t>Email discussion on solution 2 family</w:t>
      </w:r>
      <w:r w:rsidR="00822BAB">
        <w:t>, ZTE, 3GPP TSG-RAN WG2 Meeting #94, Nanjing, China, 23rd – 27th May</w:t>
      </w:r>
      <w:r w:rsidR="00822BAB" w:rsidRPr="008929D3">
        <w:t xml:space="preserve"> 2016</w:t>
      </w:r>
      <w:bookmarkEnd w:id="9"/>
    </w:p>
    <w:p w:rsidR="00A22E7E" w:rsidRDefault="00C91670" w:rsidP="00C91670">
      <w:pPr>
        <w:numPr>
          <w:ilvl w:val="0"/>
          <w:numId w:val="4"/>
        </w:numPr>
        <w:overflowPunct w:val="0"/>
        <w:autoSpaceDE w:val="0"/>
        <w:autoSpaceDN w:val="0"/>
        <w:adjustRightInd w:val="0"/>
        <w:textAlignment w:val="baseline"/>
      </w:pPr>
      <w:bookmarkStart w:id="10" w:name="_Ref450752052"/>
      <w:r w:rsidRPr="00C91670">
        <w:t>R3-161211</w:t>
      </w:r>
      <w:r w:rsidR="00A22E7E">
        <w:t xml:space="preserve">, </w:t>
      </w:r>
      <w:r w:rsidRPr="009E18E3">
        <w:rPr>
          <w:i/>
        </w:rPr>
        <w:t>Considerations on SON-MRO for make-before-break</w:t>
      </w:r>
      <w:r w:rsidR="00A22E7E">
        <w:t>, 3GPP TSG-RAN WG3 Meeting #92, Nanjing, China, 23rd – 27th May</w:t>
      </w:r>
      <w:r w:rsidR="00A22E7E" w:rsidRPr="008929D3">
        <w:t xml:space="preserve"> 2016</w:t>
      </w:r>
      <w:bookmarkEnd w:id="10"/>
    </w:p>
    <w:p w:rsidR="002B4C95" w:rsidRPr="006E13D1" w:rsidRDefault="002B4C95" w:rsidP="002B4C95">
      <w:pPr>
        <w:numPr>
          <w:ilvl w:val="0"/>
          <w:numId w:val="4"/>
        </w:numPr>
        <w:overflowPunct w:val="0"/>
        <w:autoSpaceDE w:val="0"/>
        <w:autoSpaceDN w:val="0"/>
        <w:adjustRightInd w:val="0"/>
        <w:textAlignment w:val="baseline"/>
      </w:pPr>
      <w:bookmarkStart w:id="11" w:name="_Ref450752517"/>
      <w:r>
        <w:t xml:space="preserve">3GPP TS 36.300, </w:t>
      </w:r>
      <w:r w:rsidRPr="002B4C95">
        <w:t>Evolved Universal Terrestrial Radio Access (E-UTRA) and Evolved Universal Terrestrial Radio Access Network (E-U</w:t>
      </w:r>
      <w:bookmarkStart w:id="12" w:name="_GoBack"/>
      <w:bookmarkEnd w:id="12"/>
      <w:r w:rsidRPr="002B4C95">
        <w:t>TRAN); Overall description; Stage 2</w:t>
      </w:r>
      <w:bookmarkEnd w:id="11"/>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081" w:rsidRDefault="004D0081">
      <w:r>
        <w:separator/>
      </w:r>
    </w:p>
  </w:endnote>
  <w:endnote w:type="continuationSeparator" w:id="0">
    <w:p w:rsidR="004D0081" w:rsidRDefault="004D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081" w:rsidRDefault="004D0081">
      <w:r>
        <w:separator/>
      </w:r>
    </w:p>
  </w:footnote>
  <w:footnote w:type="continuationSeparator" w:id="0">
    <w:p w:rsidR="004D0081" w:rsidRDefault="004D0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3D1183"/>
    <w:multiLevelType w:val="hybridMultilevel"/>
    <w:tmpl w:val="905C9568"/>
    <w:lvl w:ilvl="0" w:tplc="DE40F9F4">
      <w:start w:val="1"/>
      <w:numFmt w:val="decimal"/>
      <w:lvlText w:val="Proposal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07E1C"/>
    <w:multiLevelType w:val="hybridMultilevel"/>
    <w:tmpl w:val="01DA5390"/>
    <w:lvl w:ilvl="0" w:tplc="16507162">
      <w:start w:val="1"/>
      <w:numFmt w:val="decimal"/>
      <w:lvlText w:val="Observation %1:"/>
      <w:lvlJc w:val="left"/>
      <w:pPr>
        <w:ind w:left="0" w:firstLine="0"/>
      </w:pPr>
      <w:rPr>
        <w:rFonts w:hint="eastAsia"/>
        <w:b/>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4C7599"/>
    <w:multiLevelType w:val="hybridMultilevel"/>
    <w:tmpl w:val="6262C76C"/>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225607"/>
    <w:multiLevelType w:val="hybridMultilevel"/>
    <w:tmpl w:val="144888B8"/>
    <w:lvl w:ilvl="0" w:tplc="56EC1898">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407"/>
    <w:rsid w:val="000019BC"/>
    <w:rsid w:val="00033397"/>
    <w:rsid w:val="00040095"/>
    <w:rsid w:val="00040775"/>
    <w:rsid w:val="00080512"/>
    <w:rsid w:val="00090468"/>
    <w:rsid w:val="00097852"/>
    <w:rsid w:val="0009797B"/>
    <w:rsid w:val="000B7BCF"/>
    <w:rsid w:val="000C522B"/>
    <w:rsid w:val="000D58AB"/>
    <w:rsid w:val="000F204B"/>
    <w:rsid w:val="000F66E0"/>
    <w:rsid w:val="000F76D8"/>
    <w:rsid w:val="001031DD"/>
    <w:rsid w:val="00117A9E"/>
    <w:rsid w:val="00127F57"/>
    <w:rsid w:val="001741A0"/>
    <w:rsid w:val="00183E0D"/>
    <w:rsid w:val="00194CD0"/>
    <w:rsid w:val="001B49C9"/>
    <w:rsid w:val="001D2B97"/>
    <w:rsid w:val="001E5B5E"/>
    <w:rsid w:val="001F168B"/>
    <w:rsid w:val="001F7831"/>
    <w:rsid w:val="00200881"/>
    <w:rsid w:val="00204045"/>
    <w:rsid w:val="0022606D"/>
    <w:rsid w:val="002747EC"/>
    <w:rsid w:val="002855BF"/>
    <w:rsid w:val="002977DF"/>
    <w:rsid w:val="002B4C95"/>
    <w:rsid w:val="002F0D22"/>
    <w:rsid w:val="003172DC"/>
    <w:rsid w:val="003174C6"/>
    <w:rsid w:val="00326069"/>
    <w:rsid w:val="003408C3"/>
    <w:rsid w:val="0035462D"/>
    <w:rsid w:val="00371696"/>
    <w:rsid w:val="00390250"/>
    <w:rsid w:val="003A4912"/>
    <w:rsid w:val="003C4E37"/>
    <w:rsid w:val="003E16BE"/>
    <w:rsid w:val="00401855"/>
    <w:rsid w:val="00421899"/>
    <w:rsid w:val="00422903"/>
    <w:rsid w:val="00447435"/>
    <w:rsid w:val="00457B77"/>
    <w:rsid w:val="00464913"/>
    <w:rsid w:val="00477455"/>
    <w:rsid w:val="0048019B"/>
    <w:rsid w:val="00497E9A"/>
    <w:rsid w:val="004A3968"/>
    <w:rsid w:val="004B5AAF"/>
    <w:rsid w:val="004D0081"/>
    <w:rsid w:val="004D3578"/>
    <w:rsid w:val="004D380D"/>
    <w:rsid w:val="004D6F68"/>
    <w:rsid w:val="004E213A"/>
    <w:rsid w:val="004E3240"/>
    <w:rsid w:val="00503171"/>
    <w:rsid w:val="00534DA0"/>
    <w:rsid w:val="00543E6C"/>
    <w:rsid w:val="00565087"/>
    <w:rsid w:val="0056573F"/>
    <w:rsid w:val="00581E00"/>
    <w:rsid w:val="00587BA0"/>
    <w:rsid w:val="005E7CEC"/>
    <w:rsid w:val="00607285"/>
    <w:rsid w:val="00611566"/>
    <w:rsid w:val="00626D5E"/>
    <w:rsid w:val="006379D9"/>
    <w:rsid w:val="00637A7B"/>
    <w:rsid w:val="00640749"/>
    <w:rsid w:val="00646D99"/>
    <w:rsid w:val="00656910"/>
    <w:rsid w:val="0067341C"/>
    <w:rsid w:val="0069778E"/>
    <w:rsid w:val="006A70F2"/>
    <w:rsid w:val="006C66D8"/>
    <w:rsid w:val="006D1E24"/>
    <w:rsid w:val="006D27EF"/>
    <w:rsid w:val="006E7130"/>
    <w:rsid w:val="006F6A2C"/>
    <w:rsid w:val="007110EC"/>
    <w:rsid w:val="00717354"/>
    <w:rsid w:val="00723421"/>
    <w:rsid w:val="00734A5B"/>
    <w:rsid w:val="00744E76"/>
    <w:rsid w:val="00757D40"/>
    <w:rsid w:val="00781F0F"/>
    <w:rsid w:val="0078727C"/>
    <w:rsid w:val="007B18D8"/>
    <w:rsid w:val="007C095F"/>
    <w:rsid w:val="007E0EC9"/>
    <w:rsid w:val="007F084E"/>
    <w:rsid w:val="008028A4"/>
    <w:rsid w:val="00822BAB"/>
    <w:rsid w:val="008253F6"/>
    <w:rsid w:val="00861E16"/>
    <w:rsid w:val="008768CA"/>
    <w:rsid w:val="00880559"/>
    <w:rsid w:val="00885C02"/>
    <w:rsid w:val="008929D3"/>
    <w:rsid w:val="008F04E5"/>
    <w:rsid w:val="0090271F"/>
    <w:rsid w:val="00912DC7"/>
    <w:rsid w:val="00937674"/>
    <w:rsid w:val="00942EC2"/>
    <w:rsid w:val="00961B32"/>
    <w:rsid w:val="00964B40"/>
    <w:rsid w:val="00974BB0"/>
    <w:rsid w:val="009B07CD"/>
    <w:rsid w:val="009E18E3"/>
    <w:rsid w:val="00A10F02"/>
    <w:rsid w:val="00A1147A"/>
    <w:rsid w:val="00A22E7E"/>
    <w:rsid w:val="00A25758"/>
    <w:rsid w:val="00A36F51"/>
    <w:rsid w:val="00A509AA"/>
    <w:rsid w:val="00A53724"/>
    <w:rsid w:val="00A82346"/>
    <w:rsid w:val="00A830CC"/>
    <w:rsid w:val="00A9671C"/>
    <w:rsid w:val="00AA19AC"/>
    <w:rsid w:val="00AC678A"/>
    <w:rsid w:val="00AF1717"/>
    <w:rsid w:val="00B00B02"/>
    <w:rsid w:val="00B15449"/>
    <w:rsid w:val="00B24CED"/>
    <w:rsid w:val="00B47FD1"/>
    <w:rsid w:val="00B8135B"/>
    <w:rsid w:val="00BB2251"/>
    <w:rsid w:val="00BC779C"/>
    <w:rsid w:val="00BD33A0"/>
    <w:rsid w:val="00BD43D1"/>
    <w:rsid w:val="00BD4A99"/>
    <w:rsid w:val="00BF08B1"/>
    <w:rsid w:val="00BF310E"/>
    <w:rsid w:val="00BF5B00"/>
    <w:rsid w:val="00C12B51"/>
    <w:rsid w:val="00C3025A"/>
    <w:rsid w:val="00C33079"/>
    <w:rsid w:val="00C333ED"/>
    <w:rsid w:val="00C626A0"/>
    <w:rsid w:val="00C83A13"/>
    <w:rsid w:val="00C91670"/>
    <w:rsid w:val="00CA17B9"/>
    <w:rsid w:val="00CA3D0C"/>
    <w:rsid w:val="00CA4A58"/>
    <w:rsid w:val="00CB6A0C"/>
    <w:rsid w:val="00CD4C7B"/>
    <w:rsid w:val="00CF54E3"/>
    <w:rsid w:val="00D15FF6"/>
    <w:rsid w:val="00D23E83"/>
    <w:rsid w:val="00D64C9D"/>
    <w:rsid w:val="00D738D6"/>
    <w:rsid w:val="00D7444F"/>
    <w:rsid w:val="00D80795"/>
    <w:rsid w:val="00D87E00"/>
    <w:rsid w:val="00D9134D"/>
    <w:rsid w:val="00D96D11"/>
    <w:rsid w:val="00DA7A03"/>
    <w:rsid w:val="00DB1818"/>
    <w:rsid w:val="00DC1ABB"/>
    <w:rsid w:val="00DC309B"/>
    <w:rsid w:val="00DC4DA2"/>
    <w:rsid w:val="00E11660"/>
    <w:rsid w:val="00E62835"/>
    <w:rsid w:val="00E64C1A"/>
    <w:rsid w:val="00E77645"/>
    <w:rsid w:val="00EB5637"/>
    <w:rsid w:val="00EC13F0"/>
    <w:rsid w:val="00EC4A25"/>
    <w:rsid w:val="00F003E8"/>
    <w:rsid w:val="00F025A2"/>
    <w:rsid w:val="00F07388"/>
    <w:rsid w:val="00F2026E"/>
    <w:rsid w:val="00F2210A"/>
    <w:rsid w:val="00F321FE"/>
    <w:rsid w:val="00F37743"/>
    <w:rsid w:val="00F42C57"/>
    <w:rsid w:val="00F52AD9"/>
    <w:rsid w:val="00F54A3D"/>
    <w:rsid w:val="00F653B8"/>
    <w:rsid w:val="00F76F8F"/>
    <w:rsid w:val="00FA1266"/>
    <w:rsid w:val="00FC1192"/>
    <w:rsid w:val="00FD5860"/>
    <w:rsid w:val="00FF238E"/>
    <w:rsid w:val="00FF38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97852"/>
    <w:pPr>
      <w:ind w:left="720"/>
      <w:contextualSpacing/>
    </w:pPr>
  </w:style>
  <w:style w:type="paragraph" w:styleId="BalloonText">
    <w:name w:val="Balloon Text"/>
    <w:basedOn w:val="Normal"/>
    <w:link w:val="BalloonTextChar"/>
    <w:rsid w:val="00457B77"/>
    <w:pPr>
      <w:spacing w:after="0"/>
    </w:pPr>
    <w:rPr>
      <w:rFonts w:ascii="Segoe UI" w:hAnsi="Segoe UI" w:cs="Segoe UI"/>
      <w:sz w:val="18"/>
      <w:szCs w:val="18"/>
    </w:rPr>
  </w:style>
  <w:style w:type="character" w:customStyle="1" w:styleId="BalloonTextChar">
    <w:name w:val="Balloon Text Char"/>
    <w:basedOn w:val="DefaultParagraphFont"/>
    <w:link w:val="BalloonText"/>
    <w:rsid w:val="00457B77"/>
    <w:rPr>
      <w:rFonts w:ascii="Segoe UI" w:hAnsi="Segoe UI" w:cs="Segoe UI"/>
      <w:sz w:val="18"/>
      <w:szCs w:val="18"/>
      <w:lang w:eastAsia="en-US"/>
    </w:rPr>
  </w:style>
  <w:style w:type="character" w:styleId="FollowedHyperlink">
    <w:name w:val="FollowedHyperlink"/>
    <w:basedOn w:val="DefaultParagraphFont"/>
    <w:rsid w:val="00C91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963590">
      <w:bodyDiv w:val="1"/>
      <w:marLeft w:val="0"/>
      <w:marRight w:val="0"/>
      <w:marTop w:val="0"/>
      <w:marBottom w:val="0"/>
      <w:divBdr>
        <w:top w:val="none" w:sz="0" w:space="0" w:color="auto"/>
        <w:left w:val="none" w:sz="0" w:space="0" w:color="auto"/>
        <w:bottom w:val="none" w:sz="0" w:space="0" w:color="auto"/>
        <w:right w:val="none" w:sz="0" w:space="0" w:color="auto"/>
      </w:divBdr>
    </w:div>
    <w:div w:id="1147892197">
      <w:bodyDiv w:val="1"/>
      <w:marLeft w:val="0"/>
      <w:marRight w:val="0"/>
      <w:marTop w:val="0"/>
      <w:marBottom w:val="0"/>
      <w:divBdr>
        <w:top w:val="none" w:sz="0" w:space="0" w:color="auto"/>
        <w:left w:val="none" w:sz="0" w:space="0" w:color="auto"/>
        <w:bottom w:val="none" w:sz="0" w:space="0" w:color="auto"/>
        <w:right w:val="none" w:sz="0" w:space="0" w:color="auto"/>
      </w:divBdr>
    </w:div>
    <w:div w:id="1491286241">
      <w:bodyDiv w:val="1"/>
      <w:marLeft w:val="0"/>
      <w:marRight w:val="0"/>
      <w:marTop w:val="0"/>
      <w:marBottom w:val="0"/>
      <w:divBdr>
        <w:top w:val="none" w:sz="0" w:space="0" w:color="auto"/>
        <w:left w:val="none" w:sz="0" w:space="0" w:color="auto"/>
        <w:bottom w:val="none" w:sz="0" w:space="0" w:color="auto"/>
        <w:right w:val="none" w:sz="0" w:space="0" w:color="auto"/>
      </w:divBdr>
    </w:div>
    <w:div w:id="213197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9BC39-5650-4A23-977E-551424EB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10021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Jedrzej Stanczak</cp:lastModifiedBy>
  <cp:revision>11</cp:revision>
  <dcterms:created xsi:type="dcterms:W3CDTF">2016-05-13T15:21:00Z</dcterms:created>
  <dcterms:modified xsi:type="dcterms:W3CDTF">2016-05-13T15:44:00Z</dcterms:modified>
</cp:coreProperties>
</file>